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A5D21" w14:textId="6707BB11" w:rsidR="008C1196" w:rsidRDefault="008C1196" w:rsidP="008C1196">
      <w:pPr>
        <w:pStyle w:val="Ttulo3"/>
        <w:rPr>
          <w:sz w:val="36"/>
        </w:rPr>
      </w:pPr>
      <w:r>
        <w:rPr>
          <w:sz w:val="36"/>
        </w:rPr>
        <w:t xml:space="preserve">CASO </w:t>
      </w:r>
      <w:r w:rsidRPr="008C1196">
        <w:rPr>
          <w:sz w:val="36"/>
        </w:rPr>
        <w:t xml:space="preserve">LA CHOCOLATERÍA </w:t>
      </w:r>
    </w:p>
    <w:p w14:paraId="6BF45143" w14:textId="6B978947" w:rsidR="008C1196" w:rsidRDefault="008C1196" w:rsidP="008C1196">
      <w:pPr>
        <w:pStyle w:val="Textoindependiente"/>
        <w:spacing w:after="0"/>
        <w:jc w:val="both"/>
      </w:pPr>
      <w:r>
        <w:t xml:space="preserve">La empresa </w:t>
      </w:r>
      <w:r w:rsidR="007615B7">
        <w:t xml:space="preserve">La </w:t>
      </w:r>
      <w:r w:rsidR="006819E8">
        <w:t>chocolatería</w:t>
      </w:r>
      <w:r w:rsidR="007615B7">
        <w:t xml:space="preserve"> </w:t>
      </w:r>
      <w:r>
        <w:t xml:space="preserve"> S.A. se dedica a la producción y venta de su conocida línea de chocolates en sus dos tamaños: bombón y familiar. Posee os centros productivos: Elaboración y Envasado. Además tiene tres departamentos de servicios: Almacén, Comedor y Caldera.</w:t>
      </w:r>
    </w:p>
    <w:p w14:paraId="16DE5D78" w14:textId="77777777" w:rsidR="008C1196" w:rsidRDefault="008C1196" w:rsidP="008C1196">
      <w:pPr>
        <w:pStyle w:val="Textoindependiente"/>
        <w:spacing w:after="0"/>
        <w:jc w:val="both"/>
      </w:pPr>
      <w:r>
        <w:t>Para poder efectuar la asignación de los gastos presupuestados del mes se cuenta con los siguientes datos: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2"/>
        <w:gridCol w:w="1312"/>
        <w:gridCol w:w="1494"/>
        <w:gridCol w:w="1259"/>
        <w:gridCol w:w="1149"/>
        <w:gridCol w:w="1259"/>
        <w:gridCol w:w="1259"/>
      </w:tblGrid>
      <w:tr w:rsidR="008C1196" w14:paraId="26B80BF0" w14:textId="77777777" w:rsidTr="00832452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8E3F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Dto.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F5EF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Superficie en mts2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8CCC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Valor maquinaria pesos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1FB7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Consumo M. Prima unidades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C65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Personal ocupado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5262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 xml:space="preserve">Consumo </w:t>
            </w:r>
            <w:proofErr w:type="spellStart"/>
            <w:r>
              <w:t>Kw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3E75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Consumo vapor</w:t>
            </w:r>
          </w:p>
        </w:tc>
      </w:tr>
      <w:tr w:rsidR="008C1196" w14:paraId="04FAEFA2" w14:textId="77777777" w:rsidTr="00832452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AC35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Elaboración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6C09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2.000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55A3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40.000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02D0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720.000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D308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C249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1EF8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90%</w:t>
            </w:r>
          </w:p>
        </w:tc>
      </w:tr>
      <w:tr w:rsidR="008C1196" w14:paraId="4936D450" w14:textId="77777777" w:rsidTr="00832452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BDAB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Envasado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1C37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500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54AD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1.000.000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63DD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180.000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E83A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FC33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150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DF36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10%</w:t>
            </w:r>
          </w:p>
        </w:tc>
      </w:tr>
      <w:tr w:rsidR="008C1196" w14:paraId="2BDD22D0" w14:textId="77777777" w:rsidTr="00832452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D5A8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Almacén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6AA5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600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02E7" w14:textId="77777777" w:rsidR="008C1196" w:rsidRDefault="008C1196" w:rsidP="00832452">
            <w:pPr>
              <w:pStyle w:val="Textoindependiente"/>
              <w:spacing w:after="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0BEC" w14:textId="77777777" w:rsidR="008C1196" w:rsidRDefault="008C1196" w:rsidP="00832452">
            <w:pPr>
              <w:pStyle w:val="Textoindependiente"/>
              <w:spacing w:after="0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1276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F568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8DFD" w14:textId="77777777" w:rsidR="008C1196" w:rsidRDefault="008C1196" w:rsidP="00832452">
            <w:pPr>
              <w:pStyle w:val="Textoindependiente"/>
              <w:spacing w:after="0"/>
              <w:jc w:val="center"/>
            </w:pPr>
          </w:p>
        </w:tc>
      </w:tr>
      <w:tr w:rsidR="008C1196" w14:paraId="29B8B128" w14:textId="77777777" w:rsidTr="00832452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61CC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Caldera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BFF4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100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BC40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100.000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719" w14:textId="77777777" w:rsidR="008C1196" w:rsidRDefault="008C1196" w:rsidP="00832452">
            <w:pPr>
              <w:pStyle w:val="Textoindependiente"/>
              <w:spacing w:after="0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8E98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4871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30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EE32" w14:textId="77777777" w:rsidR="008C1196" w:rsidRDefault="008C1196" w:rsidP="00832452">
            <w:pPr>
              <w:pStyle w:val="Textoindependiente"/>
              <w:spacing w:after="0"/>
              <w:jc w:val="center"/>
            </w:pPr>
          </w:p>
        </w:tc>
      </w:tr>
      <w:tr w:rsidR="008C1196" w14:paraId="20FEFCC8" w14:textId="77777777" w:rsidTr="00832452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1FD4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Comedor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8C0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250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B8D" w14:textId="77777777" w:rsidR="008C1196" w:rsidRDefault="008C1196" w:rsidP="00832452">
            <w:pPr>
              <w:pStyle w:val="Textoindependiente"/>
              <w:spacing w:after="0"/>
              <w:jc w:val="center"/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FF73" w14:textId="77777777" w:rsidR="008C1196" w:rsidRDefault="008C1196" w:rsidP="00832452">
            <w:pPr>
              <w:pStyle w:val="Textoindependiente"/>
              <w:spacing w:after="0"/>
              <w:jc w:val="center"/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C8F4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FAF4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32F7" w14:textId="77777777" w:rsidR="008C1196" w:rsidRDefault="008C1196" w:rsidP="00832452">
            <w:pPr>
              <w:pStyle w:val="Textoindependiente"/>
              <w:spacing w:after="0"/>
              <w:jc w:val="center"/>
            </w:pPr>
          </w:p>
        </w:tc>
      </w:tr>
      <w:tr w:rsidR="008C1196" w14:paraId="4AA5DED6" w14:textId="77777777" w:rsidTr="00832452">
        <w:trPr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5055" w14:textId="77777777" w:rsidR="008C1196" w:rsidRDefault="008C1196" w:rsidP="00832452">
            <w:pPr>
              <w:pStyle w:val="Textoindependient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B83F" w14:textId="77777777" w:rsidR="008C1196" w:rsidRDefault="008C1196" w:rsidP="00832452">
            <w:pPr>
              <w:pStyle w:val="Textoindependient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3.450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5453" w14:textId="77777777" w:rsidR="008C1196" w:rsidRDefault="008C1196" w:rsidP="00832452">
            <w:pPr>
              <w:pStyle w:val="Textoindependient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1.140.000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F5B4" w14:textId="77777777" w:rsidR="008C1196" w:rsidRDefault="008C1196" w:rsidP="00832452">
            <w:pPr>
              <w:pStyle w:val="Textoindependient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900.000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D67B" w14:textId="77777777" w:rsidR="008C1196" w:rsidRDefault="008C1196" w:rsidP="00832452">
            <w:pPr>
              <w:pStyle w:val="Textoindependient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E93A" w14:textId="77777777" w:rsidR="008C1196" w:rsidRDefault="008C1196" w:rsidP="00832452">
            <w:pPr>
              <w:pStyle w:val="Textoindependient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26EB" w14:textId="77777777" w:rsidR="008C1196" w:rsidRDefault="008C1196" w:rsidP="00832452">
            <w:pPr>
              <w:pStyle w:val="Textoindependient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14:paraId="58628CEF" w14:textId="77777777" w:rsidR="008C1196" w:rsidRDefault="008C1196" w:rsidP="008C1196">
      <w:pPr>
        <w:pStyle w:val="Textoindependiente"/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2"/>
        <w:gridCol w:w="2936"/>
        <w:gridCol w:w="2950"/>
      </w:tblGrid>
      <w:tr w:rsidR="008C1196" w14:paraId="5307F3BF" w14:textId="77777777" w:rsidTr="00832452">
        <w:tc>
          <w:tcPr>
            <w:tcW w:w="2992" w:type="dxa"/>
          </w:tcPr>
          <w:p w14:paraId="57C59AD1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Producto</w:t>
            </w:r>
          </w:p>
        </w:tc>
        <w:tc>
          <w:tcPr>
            <w:tcW w:w="2993" w:type="dxa"/>
          </w:tcPr>
          <w:p w14:paraId="52D136A4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Horas de mano de</w:t>
            </w:r>
          </w:p>
          <w:p w14:paraId="3F2A0EF0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obra directa</w:t>
            </w:r>
          </w:p>
        </w:tc>
        <w:tc>
          <w:tcPr>
            <w:tcW w:w="2993" w:type="dxa"/>
          </w:tcPr>
          <w:p w14:paraId="4B8BF377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Unidades producidas</w:t>
            </w:r>
          </w:p>
        </w:tc>
      </w:tr>
      <w:tr w:rsidR="008C1196" w14:paraId="4BA11CC5" w14:textId="77777777" w:rsidTr="00832452">
        <w:tc>
          <w:tcPr>
            <w:tcW w:w="2992" w:type="dxa"/>
          </w:tcPr>
          <w:p w14:paraId="731EC638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Bombón</w:t>
            </w:r>
          </w:p>
        </w:tc>
        <w:tc>
          <w:tcPr>
            <w:tcW w:w="2993" w:type="dxa"/>
          </w:tcPr>
          <w:p w14:paraId="7EA73865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3.405</w:t>
            </w:r>
          </w:p>
        </w:tc>
        <w:tc>
          <w:tcPr>
            <w:tcW w:w="2993" w:type="dxa"/>
          </w:tcPr>
          <w:p w14:paraId="702B63D0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272.400</w:t>
            </w:r>
          </w:p>
        </w:tc>
      </w:tr>
      <w:tr w:rsidR="008C1196" w14:paraId="3F6D4F37" w14:textId="77777777" w:rsidTr="00832452">
        <w:tc>
          <w:tcPr>
            <w:tcW w:w="2992" w:type="dxa"/>
          </w:tcPr>
          <w:p w14:paraId="7ED9954B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Familiar</w:t>
            </w:r>
          </w:p>
        </w:tc>
        <w:tc>
          <w:tcPr>
            <w:tcW w:w="2993" w:type="dxa"/>
          </w:tcPr>
          <w:p w14:paraId="7C415561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1.140</w:t>
            </w:r>
          </w:p>
        </w:tc>
        <w:tc>
          <w:tcPr>
            <w:tcW w:w="2993" w:type="dxa"/>
          </w:tcPr>
          <w:p w14:paraId="7175633F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11.400</w:t>
            </w:r>
          </w:p>
        </w:tc>
      </w:tr>
      <w:tr w:rsidR="008C1196" w14:paraId="0E9C8C2D" w14:textId="77777777" w:rsidTr="00832452">
        <w:tc>
          <w:tcPr>
            <w:tcW w:w="2992" w:type="dxa"/>
          </w:tcPr>
          <w:p w14:paraId="5F84B709" w14:textId="77777777" w:rsidR="008C1196" w:rsidRDefault="008C1196" w:rsidP="00832452">
            <w:pPr>
              <w:pStyle w:val="Textoindependient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993" w:type="dxa"/>
          </w:tcPr>
          <w:p w14:paraId="016ECE1B" w14:textId="77777777" w:rsidR="008C1196" w:rsidRDefault="008C1196" w:rsidP="00832452">
            <w:pPr>
              <w:pStyle w:val="Textoindependient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4.545</w:t>
            </w:r>
          </w:p>
        </w:tc>
        <w:tc>
          <w:tcPr>
            <w:tcW w:w="2993" w:type="dxa"/>
          </w:tcPr>
          <w:p w14:paraId="12E5A2A0" w14:textId="77777777" w:rsidR="008C1196" w:rsidRDefault="008C1196" w:rsidP="00832452">
            <w:pPr>
              <w:pStyle w:val="Textoindependiente"/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283.800</w:t>
            </w:r>
          </w:p>
        </w:tc>
      </w:tr>
    </w:tbl>
    <w:p w14:paraId="26BA543B" w14:textId="77777777" w:rsidR="008C1196" w:rsidRDefault="008C1196" w:rsidP="008C1196">
      <w:pPr>
        <w:pStyle w:val="Textoindependiente"/>
        <w:spacing w:after="0"/>
        <w:jc w:val="both"/>
      </w:pPr>
    </w:p>
    <w:p w14:paraId="553E2E44" w14:textId="77777777" w:rsidR="008C1196" w:rsidRDefault="008C1196" w:rsidP="008C1196">
      <w:pPr>
        <w:pStyle w:val="Textoindependiente"/>
        <w:spacing w:after="0"/>
        <w:jc w:val="both"/>
      </w:pPr>
      <w:r>
        <w:t>Los gastos presupuestados para el mes son los siguientes: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9"/>
        <w:gridCol w:w="2949"/>
      </w:tblGrid>
      <w:tr w:rsidR="008C1196" w14:paraId="56571AF1" w14:textId="77777777" w:rsidTr="0083245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CC31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Alquiler inmueble planta de producción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6219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$6.900</w:t>
            </w:r>
          </w:p>
        </w:tc>
      </w:tr>
      <w:tr w:rsidR="008C1196" w14:paraId="0EC95954" w14:textId="77777777" w:rsidTr="0083245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2CA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Alquiler depósito de productos terminados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6729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$2.300</w:t>
            </w:r>
          </w:p>
        </w:tc>
      </w:tr>
      <w:tr w:rsidR="008C1196" w14:paraId="1E628FDE" w14:textId="77777777" w:rsidTr="0083245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9F4A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Sueldos y cargas sociales gerente y capataces (producción)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C76D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$170</w:t>
            </w:r>
          </w:p>
        </w:tc>
      </w:tr>
      <w:tr w:rsidR="008C1196" w14:paraId="3752B9C8" w14:textId="77777777" w:rsidTr="0083245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075F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Seguro productos terminados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B8B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$700</w:t>
            </w:r>
          </w:p>
        </w:tc>
      </w:tr>
      <w:tr w:rsidR="008C1196" w14:paraId="044AA95D" w14:textId="77777777" w:rsidTr="0083245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EFAA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Depreciación maquinarias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4DEF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$11.400</w:t>
            </w:r>
          </w:p>
        </w:tc>
      </w:tr>
      <w:tr w:rsidR="008C1196" w14:paraId="13450D55" w14:textId="77777777" w:rsidTr="0083245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F89A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lastRenderedPageBreak/>
              <w:t>Reparación maquinarias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FF0A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$2.280</w:t>
            </w:r>
          </w:p>
        </w:tc>
      </w:tr>
      <w:tr w:rsidR="008C1196" w14:paraId="45922F96" w14:textId="77777777" w:rsidTr="0083245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4287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Seguro contra incendios maquinarias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2E48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$798</w:t>
            </w:r>
          </w:p>
        </w:tc>
      </w:tr>
      <w:tr w:rsidR="008C1196" w14:paraId="5ECBE2D0" w14:textId="77777777" w:rsidTr="0083245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6683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Publicidad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5AF9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$6.200</w:t>
            </w:r>
          </w:p>
        </w:tc>
      </w:tr>
      <w:tr w:rsidR="008C1196" w14:paraId="35D72ABA" w14:textId="77777777" w:rsidTr="0083245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3607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Fuerza motriz (energía eléctrica)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9D09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$5.000</w:t>
            </w:r>
          </w:p>
        </w:tc>
      </w:tr>
      <w:tr w:rsidR="008C1196" w14:paraId="6842991A" w14:textId="77777777" w:rsidTr="0083245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DDA" w14:textId="582DC250" w:rsidR="008C1196" w:rsidRDefault="005279C0" w:rsidP="00832452">
            <w:pPr>
              <w:pStyle w:val="Textoindependiente"/>
              <w:spacing w:after="0"/>
              <w:jc w:val="both"/>
            </w:pPr>
            <w:r>
              <w:t>Sueldos</w:t>
            </w:r>
            <w:r w:rsidR="008C1196">
              <w:t xml:space="preserve"> vendedores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7439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$3.500</w:t>
            </w:r>
          </w:p>
        </w:tc>
      </w:tr>
      <w:tr w:rsidR="008C1196" w14:paraId="4E6C8325" w14:textId="77777777" w:rsidTr="0083245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77F3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Gastos de administración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88A2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$7.800</w:t>
            </w:r>
          </w:p>
        </w:tc>
      </w:tr>
      <w:tr w:rsidR="008C1196" w14:paraId="2AEA000E" w14:textId="77777777" w:rsidTr="0083245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098B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Sueldos y cargas sociales comedor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F0F1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$480</w:t>
            </w:r>
          </w:p>
        </w:tc>
      </w:tr>
      <w:tr w:rsidR="008C1196" w14:paraId="7F71A619" w14:textId="77777777" w:rsidTr="0083245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DCE5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Combustible caldera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5CB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$140</w:t>
            </w:r>
          </w:p>
        </w:tc>
      </w:tr>
      <w:tr w:rsidR="008C1196" w14:paraId="5A1DCFA9" w14:textId="77777777" w:rsidTr="0083245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069E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Gastos comedor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6DA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$300</w:t>
            </w:r>
          </w:p>
        </w:tc>
      </w:tr>
      <w:tr w:rsidR="008C1196" w14:paraId="2DA249A7" w14:textId="77777777" w:rsidTr="0083245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77C3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Suministros elaboración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46DC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$500</w:t>
            </w:r>
          </w:p>
        </w:tc>
      </w:tr>
      <w:tr w:rsidR="008C1196" w14:paraId="613B2D2C" w14:textId="77777777" w:rsidTr="0083245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5C71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Suministros envasado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2D8C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$100</w:t>
            </w:r>
          </w:p>
        </w:tc>
      </w:tr>
      <w:tr w:rsidR="008C1196" w14:paraId="6F7BC6AD" w14:textId="77777777" w:rsidTr="0083245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DE9B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Mano de obra indirecta elaboración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B02E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$650</w:t>
            </w:r>
          </w:p>
        </w:tc>
      </w:tr>
      <w:tr w:rsidR="008C1196" w14:paraId="3272F77B" w14:textId="77777777" w:rsidTr="0083245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BF53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Mano de obra indirecta envasado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C352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$120</w:t>
            </w:r>
          </w:p>
        </w:tc>
      </w:tr>
      <w:tr w:rsidR="008C1196" w14:paraId="3A67C04E" w14:textId="77777777" w:rsidTr="0083245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0997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Sueldos y jornales almacén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D2E0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$980</w:t>
            </w:r>
          </w:p>
        </w:tc>
      </w:tr>
      <w:tr w:rsidR="008C1196" w14:paraId="583A1BAF" w14:textId="77777777" w:rsidTr="00832452"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3D83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Seguro materias primas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7E0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$1.000</w:t>
            </w:r>
          </w:p>
        </w:tc>
      </w:tr>
    </w:tbl>
    <w:p w14:paraId="4844E436" w14:textId="77777777" w:rsidR="008C1196" w:rsidRDefault="008C1196" w:rsidP="008C1196">
      <w:pPr>
        <w:pStyle w:val="Textoindependiente"/>
        <w:spacing w:after="0"/>
        <w:jc w:val="both"/>
      </w:pPr>
    </w:p>
    <w:p w14:paraId="15F3CB14" w14:textId="77777777" w:rsidR="008C1196" w:rsidRDefault="008C1196" w:rsidP="008C1196">
      <w:pPr>
        <w:pStyle w:val="Textoindependiente"/>
        <w:spacing w:after="0"/>
        <w:jc w:val="both"/>
      </w:pPr>
      <w:r>
        <w:rPr>
          <w:b/>
          <w:bCs/>
        </w:rPr>
        <w:t xml:space="preserve">En el centro Elaboración </w:t>
      </w:r>
      <w:r>
        <w:t>se elaboran los chocolates en sus dos tamaños, siendo el costo de la materia prima de cada producto $0,13 para el bombón y $0,32 para el familiar.</w:t>
      </w:r>
    </w:p>
    <w:p w14:paraId="44C2817A" w14:textId="77777777" w:rsidR="008C1196" w:rsidRDefault="008C1196" w:rsidP="008C1196">
      <w:pPr>
        <w:pStyle w:val="Textoindependiente"/>
        <w:spacing w:after="0"/>
        <w:jc w:val="both"/>
      </w:pPr>
      <w:r>
        <w:t>Respecto de la mano de obra directa, cada producto insume 0,0125 y 0,10 horas respectivamente.</w:t>
      </w:r>
    </w:p>
    <w:p w14:paraId="74EDFC89" w14:textId="77777777" w:rsidR="008C1196" w:rsidRDefault="008C1196" w:rsidP="008C1196">
      <w:pPr>
        <w:pStyle w:val="Textoindependiente"/>
        <w:spacing w:after="0"/>
        <w:jc w:val="both"/>
      </w:pPr>
      <w:r>
        <w:t xml:space="preserve">La tarifa horaria del centro es de $6. </w:t>
      </w:r>
    </w:p>
    <w:p w14:paraId="68FDFE17" w14:textId="77777777" w:rsidR="008C1196" w:rsidRDefault="008C1196" w:rsidP="008C1196">
      <w:pPr>
        <w:pStyle w:val="Textoindependiente"/>
        <w:spacing w:after="0"/>
        <w:jc w:val="both"/>
      </w:pPr>
      <w:r>
        <w:t>La política de la empresa es que todo lo que se elabora se envasa por lo que no existe stock de producción en proceso.</w:t>
      </w:r>
    </w:p>
    <w:p w14:paraId="7309AEF7" w14:textId="77777777" w:rsidR="008C1196" w:rsidRDefault="008C1196" w:rsidP="008C1196">
      <w:pPr>
        <w:pStyle w:val="Textoindependiente"/>
        <w:spacing w:after="0"/>
        <w:jc w:val="both"/>
      </w:pPr>
    </w:p>
    <w:p w14:paraId="558A282C" w14:textId="77777777" w:rsidR="008C1196" w:rsidRDefault="008C1196" w:rsidP="008C1196">
      <w:pPr>
        <w:pStyle w:val="Textoindependiente"/>
        <w:spacing w:after="0"/>
        <w:jc w:val="both"/>
      </w:pPr>
      <w:r>
        <w:rPr>
          <w:b/>
          <w:bCs/>
        </w:rPr>
        <w:t>En el centro Envasado</w:t>
      </w:r>
      <w:r>
        <w:t xml:space="preserve"> se acondicionan los chocolates para su venta. En este centro que está altamente mecanizado, a los chocolates transferidos del centro anterior se les agrega papel metalizado protector, mediante máquinas muy modernas y luego el envoltorio con la identificación comercial del producto. El chocolate tiene un desperdicio del 4% para los dos productos, </w:t>
      </w:r>
      <w:r>
        <w:lastRenderedPageBreak/>
        <w:t>los envoltorios tienen un costo de $0,02 para el bombón y $0,05 para el familiar, teniendo un rendimiento del 100%</w:t>
      </w:r>
    </w:p>
    <w:p w14:paraId="3034164C" w14:textId="77777777" w:rsidR="008C1196" w:rsidRDefault="008C1196" w:rsidP="008C1196">
      <w:pPr>
        <w:pStyle w:val="Textoindependiente"/>
        <w:spacing w:after="0"/>
        <w:jc w:val="both"/>
      </w:pPr>
      <w:r>
        <w:t xml:space="preserve">Las unidades a producir durante el período son: 272.400 bombones y 11.400 familiares. </w:t>
      </w:r>
    </w:p>
    <w:p w14:paraId="5948342E" w14:textId="77777777" w:rsidR="008C1196" w:rsidRDefault="008C1196" w:rsidP="008C1196">
      <w:pPr>
        <w:pStyle w:val="Textoindependiente"/>
        <w:spacing w:after="0"/>
        <w:jc w:val="both"/>
      </w:pPr>
      <w:r>
        <w:t>La política de stocks de productos terminados para este período es mantener al cierre un stock equivalente al 10% de las ventas del período siguiente: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1"/>
        <w:gridCol w:w="2948"/>
        <w:gridCol w:w="2939"/>
      </w:tblGrid>
      <w:tr w:rsidR="008C1196" w14:paraId="012681CC" w14:textId="77777777" w:rsidTr="00832452">
        <w:tc>
          <w:tcPr>
            <w:tcW w:w="2992" w:type="dxa"/>
          </w:tcPr>
          <w:p w14:paraId="4206A8FE" w14:textId="77777777" w:rsidR="008C1196" w:rsidRDefault="008C1196" w:rsidP="00832452">
            <w:pPr>
              <w:pStyle w:val="Textoindependiente"/>
              <w:spacing w:after="0"/>
              <w:jc w:val="both"/>
            </w:pPr>
          </w:p>
        </w:tc>
        <w:tc>
          <w:tcPr>
            <w:tcW w:w="2993" w:type="dxa"/>
          </w:tcPr>
          <w:p w14:paraId="148E01C7" w14:textId="77777777" w:rsidR="008C1196" w:rsidRDefault="008C1196" w:rsidP="00832452">
            <w:pPr>
              <w:pStyle w:val="Textoindependiente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Bombones</w:t>
            </w:r>
          </w:p>
        </w:tc>
        <w:tc>
          <w:tcPr>
            <w:tcW w:w="2993" w:type="dxa"/>
          </w:tcPr>
          <w:p w14:paraId="26E6D92E" w14:textId="77777777" w:rsidR="008C1196" w:rsidRDefault="008C1196" w:rsidP="00832452">
            <w:pPr>
              <w:pStyle w:val="Textoindependiente"/>
              <w:spacing w:after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Familiar</w:t>
            </w:r>
          </w:p>
        </w:tc>
      </w:tr>
      <w:tr w:rsidR="008C1196" w14:paraId="6520E992" w14:textId="77777777" w:rsidTr="00832452">
        <w:tc>
          <w:tcPr>
            <w:tcW w:w="2992" w:type="dxa"/>
          </w:tcPr>
          <w:p w14:paraId="3D4E188C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Existencia inicial</w:t>
            </w:r>
          </w:p>
        </w:tc>
        <w:tc>
          <w:tcPr>
            <w:tcW w:w="2993" w:type="dxa"/>
          </w:tcPr>
          <w:p w14:paraId="7810777E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20.000</w:t>
            </w:r>
          </w:p>
        </w:tc>
        <w:tc>
          <w:tcPr>
            <w:tcW w:w="2993" w:type="dxa"/>
          </w:tcPr>
          <w:p w14:paraId="2AC510C4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1.000</w:t>
            </w:r>
          </w:p>
        </w:tc>
      </w:tr>
      <w:tr w:rsidR="008C1196" w14:paraId="49EEC6B3" w14:textId="77777777" w:rsidTr="00832452">
        <w:tc>
          <w:tcPr>
            <w:tcW w:w="2992" w:type="dxa"/>
          </w:tcPr>
          <w:p w14:paraId="3AAD72FC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Producción</w:t>
            </w:r>
          </w:p>
        </w:tc>
        <w:tc>
          <w:tcPr>
            <w:tcW w:w="2993" w:type="dxa"/>
          </w:tcPr>
          <w:p w14:paraId="2B210B6F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272.400</w:t>
            </w:r>
          </w:p>
        </w:tc>
        <w:tc>
          <w:tcPr>
            <w:tcW w:w="2993" w:type="dxa"/>
          </w:tcPr>
          <w:p w14:paraId="2DC06BA8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11.400</w:t>
            </w:r>
          </w:p>
        </w:tc>
      </w:tr>
      <w:tr w:rsidR="008C1196" w14:paraId="68DCB941" w14:textId="77777777" w:rsidTr="00832452">
        <w:tc>
          <w:tcPr>
            <w:tcW w:w="2992" w:type="dxa"/>
          </w:tcPr>
          <w:p w14:paraId="6849A37B" w14:textId="77777777" w:rsidR="008C1196" w:rsidRDefault="008C1196" w:rsidP="00832452">
            <w:pPr>
              <w:pStyle w:val="Textoindependiente"/>
              <w:spacing w:after="0"/>
              <w:jc w:val="both"/>
            </w:pPr>
            <w:r>
              <w:t>Existencia Final</w:t>
            </w:r>
          </w:p>
        </w:tc>
        <w:tc>
          <w:tcPr>
            <w:tcW w:w="2993" w:type="dxa"/>
          </w:tcPr>
          <w:p w14:paraId="6C119972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32.000</w:t>
            </w:r>
          </w:p>
        </w:tc>
        <w:tc>
          <w:tcPr>
            <w:tcW w:w="2993" w:type="dxa"/>
          </w:tcPr>
          <w:p w14:paraId="7A389C9A" w14:textId="77777777" w:rsidR="008C1196" w:rsidRDefault="008C1196" w:rsidP="00832452">
            <w:pPr>
              <w:pStyle w:val="Textoindependiente"/>
              <w:spacing w:after="0"/>
              <w:jc w:val="center"/>
            </w:pPr>
            <w:r>
              <w:t>1.400</w:t>
            </w:r>
          </w:p>
        </w:tc>
      </w:tr>
    </w:tbl>
    <w:p w14:paraId="76BBCF72" w14:textId="77777777" w:rsidR="008C1196" w:rsidRDefault="008C1196" w:rsidP="008C1196">
      <w:pPr>
        <w:pStyle w:val="Textoindependiente"/>
        <w:spacing w:after="0"/>
        <w:jc w:val="both"/>
      </w:pPr>
    </w:p>
    <w:p w14:paraId="1E124AA4" w14:textId="77777777" w:rsidR="008C1196" w:rsidRDefault="008C1196" w:rsidP="008C1196">
      <w:pPr>
        <w:pStyle w:val="Textoindependiente"/>
        <w:spacing w:after="0"/>
        <w:jc w:val="both"/>
      </w:pPr>
      <w:r>
        <w:t>Se requiere:</w:t>
      </w:r>
    </w:p>
    <w:p w14:paraId="3EC643BB" w14:textId="77777777" w:rsidR="008C1196" w:rsidRDefault="008C1196" w:rsidP="008C1196">
      <w:pPr>
        <w:pStyle w:val="Textoindependiente"/>
        <w:numPr>
          <w:ilvl w:val="0"/>
          <w:numId w:val="1"/>
        </w:numPr>
        <w:spacing w:after="0"/>
        <w:jc w:val="both"/>
      </w:pPr>
      <w:r>
        <w:t>Clasificar los costos Directos e Indirectos.</w:t>
      </w:r>
    </w:p>
    <w:p w14:paraId="572121B7" w14:textId="77777777" w:rsidR="008C1196" w:rsidRDefault="008C1196" w:rsidP="008C1196">
      <w:pPr>
        <w:pStyle w:val="Textoindependiente"/>
        <w:numPr>
          <w:ilvl w:val="0"/>
          <w:numId w:val="1"/>
        </w:numPr>
        <w:spacing w:after="0"/>
        <w:jc w:val="both"/>
      </w:pPr>
      <w:r>
        <w:t xml:space="preserve">Determinar los el costo directo de Producción </w:t>
      </w:r>
    </w:p>
    <w:p w14:paraId="2D175FF2" w14:textId="77777777" w:rsidR="008C1196" w:rsidRDefault="008C1196" w:rsidP="008C1196">
      <w:pPr>
        <w:pStyle w:val="Textoindependiente"/>
        <w:numPr>
          <w:ilvl w:val="0"/>
          <w:numId w:val="1"/>
        </w:numPr>
        <w:spacing w:after="0"/>
        <w:jc w:val="both"/>
      </w:pPr>
      <w:r>
        <w:t xml:space="preserve">Distribuir el presupuesto de gastos del mes en los centros productivos y de servicios. </w:t>
      </w:r>
    </w:p>
    <w:p w14:paraId="74C8810E" w14:textId="77777777" w:rsidR="008C1196" w:rsidRDefault="008C1196" w:rsidP="008C1196">
      <w:pPr>
        <w:pStyle w:val="Textoindependiente"/>
        <w:numPr>
          <w:ilvl w:val="0"/>
          <w:numId w:val="1"/>
        </w:numPr>
        <w:spacing w:after="0"/>
        <w:jc w:val="both"/>
      </w:pPr>
      <w:r>
        <w:t>Luego, efectuar la distribución de los centros de servicios a los productivos</w:t>
      </w:r>
    </w:p>
    <w:p w14:paraId="4B0BF47D" w14:textId="77777777" w:rsidR="008C1196" w:rsidRDefault="008C1196" w:rsidP="008C1196">
      <w:pPr>
        <w:pStyle w:val="Textoindependiente"/>
        <w:numPr>
          <w:ilvl w:val="0"/>
          <w:numId w:val="1"/>
        </w:numPr>
        <w:spacing w:after="0"/>
        <w:jc w:val="both"/>
      </w:pPr>
      <w:r>
        <w:t>Determinar el costo de producción de cada producto</w:t>
      </w:r>
    </w:p>
    <w:p w14:paraId="24AF49BC" w14:textId="77777777" w:rsidR="008C1196" w:rsidRDefault="008C1196" w:rsidP="008C1196">
      <w:pPr>
        <w:pStyle w:val="Textoindependiente"/>
        <w:numPr>
          <w:ilvl w:val="0"/>
          <w:numId w:val="1"/>
        </w:numPr>
        <w:spacing w:after="0"/>
        <w:jc w:val="both"/>
      </w:pPr>
      <w:r>
        <w:t>Calcular el costo de ventas, teniendo en cuenta que la existencia inicial de bombones está valuada a $ 0,30 la unidad, y la de familiares a $ 1,30 la unidad.</w:t>
      </w:r>
    </w:p>
    <w:p w14:paraId="73AC8178" w14:textId="77777777" w:rsidR="008C1196" w:rsidRDefault="008C1196" w:rsidP="008C1196">
      <w:pPr>
        <w:pStyle w:val="Textoindependiente"/>
        <w:numPr>
          <w:ilvl w:val="0"/>
          <w:numId w:val="1"/>
        </w:numPr>
        <w:spacing w:after="0"/>
        <w:jc w:val="both"/>
      </w:pPr>
      <w:r>
        <w:t>Prepare el estado de resultados del período, que el precio de venta del bombón es de $ 0,50 y el del familiar es de $ 2,00. Los intereses pagados por la deuda fueron de $ 3.800 y la tasa de impuesto a la renta es del 30%.</w:t>
      </w:r>
    </w:p>
    <w:p w14:paraId="53193861" w14:textId="28B17D60" w:rsidR="00520C40" w:rsidRPr="008C1196" w:rsidRDefault="00520C40" w:rsidP="008C1196"/>
    <w:sectPr w:rsidR="00520C40" w:rsidRPr="008C1196" w:rsidSect="00D72A6A">
      <w:pgSz w:w="12240" w:h="15840"/>
      <w:pgMar w:top="1418" w:right="1701" w:bottom="12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37DAF" w14:textId="77777777" w:rsidR="009E173D" w:rsidRDefault="009E173D" w:rsidP="008C1196">
      <w:r>
        <w:separator/>
      </w:r>
    </w:p>
  </w:endnote>
  <w:endnote w:type="continuationSeparator" w:id="0">
    <w:p w14:paraId="401EA159" w14:textId="77777777" w:rsidR="009E173D" w:rsidRDefault="009E173D" w:rsidP="008C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1D308" w14:textId="77777777" w:rsidR="009E173D" w:rsidRDefault="009E173D" w:rsidP="008C1196">
      <w:r>
        <w:separator/>
      </w:r>
    </w:p>
  </w:footnote>
  <w:footnote w:type="continuationSeparator" w:id="0">
    <w:p w14:paraId="6C09867C" w14:textId="77777777" w:rsidR="009E173D" w:rsidRDefault="009E173D" w:rsidP="008C1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D1659"/>
    <w:multiLevelType w:val="hybridMultilevel"/>
    <w:tmpl w:val="D6B6BE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1944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6"/>
    <w:rsid w:val="004C3496"/>
    <w:rsid w:val="00520C40"/>
    <w:rsid w:val="005279C0"/>
    <w:rsid w:val="006809EF"/>
    <w:rsid w:val="006819E8"/>
    <w:rsid w:val="006B5F20"/>
    <w:rsid w:val="007615B7"/>
    <w:rsid w:val="008A4DBF"/>
    <w:rsid w:val="008C1196"/>
    <w:rsid w:val="00953B89"/>
    <w:rsid w:val="009E173D"/>
    <w:rsid w:val="00A2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BA70D"/>
  <w15:chartTrackingRefBased/>
  <w15:docId w15:val="{AACB88E0-ED99-4921-914A-39AB6F3A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8C1196"/>
    <w:pPr>
      <w:keepNext/>
      <w:spacing w:line="360" w:lineRule="auto"/>
      <w:jc w:val="center"/>
      <w:outlineLvl w:val="2"/>
    </w:pPr>
    <w:rPr>
      <w:rFonts w:ascii="Bookman Old Style" w:eastAsia="Arial Unicode MS" w:hAnsi="Bookman Old Style" w:cs="Arial Unicode MS"/>
      <w:b/>
      <w:sz w:val="28"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8C1196"/>
    <w:rPr>
      <w:rFonts w:ascii="Bookman Old Style" w:eastAsia="Arial Unicode MS" w:hAnsi="Bookman Old Style" w:cs="Arial Unicode MS"/>
      <w:b/>
      <w:sz w:val="28"/>
      <w:szCs w:val="20"/>
      <w:u w:val="single"/>
      <w:lang w:val="es-ES" w:eastAsia="es-ES"/>
    </w:rPr>
  </w:style>
  <w:style w:type="paragraph" w:styleId="Textoindependiente">
    <w:name w:val="Body Text"/>
    <w:basedOn w:val="Normal"/>
    <w:link w:val="TextoindependienteCar"/>
    <w:rsid w:val="008C1196"/>
    <w:pPr>
      <w:spacing w:after="120" w:line="360" w:lineRule="auto"/>
    </w:pPr>
    <w:rPr>
      <w:rFonts w:ascii="Bookman Old Style" w:hAnsi="Bookman Old Style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C1196"/>
    <w:rPr>
      <w:rFonts w:ascii="Bookman Old Style" w:eastAsia="Times New Roman" w:hAnsi="Bookman Old Style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8C119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C11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C119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196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Cruz</dc:creator>
  <cp:keywords/>
  <dc:description/>
  <cp:lastModifiedBy>Guillermo Cruz</cp:lastModifiedBy>
  <cp:revision>2</cp:revision>
  <cp:lastPrinted>2025-03-17T12:53:00Z</cp:lastPrinted>
  <dcterms:created xsi:type="dcterms:W3CDTF">2025-03-17T12:54:00Z</dcterms:created>
  <dcterms:modified xsi:type="dcterms:W3CDTF">2025-03-17T12:54:00Z</dcterms:modified>
</cp:coreProperties>
</file>