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92F" w:rsidRDefault="00C2692F">
      <w:pPr>
        <w:pStyle w:val="Text"/>
        <w:ind w:firstLine="0"/>
        <w:rPr>
          <w:sz w:val="2"/>
          <w:szCs w:val="18"/>
        </w:rPr>
      </w:pPr>
      <w:r>
        <w:rPr>
          <w:sz w:val="2"/>
          <w:szCs w:val="18"/>
        </w:rPr>
        <w:footnoteReference w:customMarkFollows="1" w:id="1"/>
        <w:sym w:font="Symbol" w:char="F020"/>
      </w:r>
    </w:p>
    <w:p w:rsidR="00C2692F" w:rsidRDefault="00C2692F" w:rsidP="00C2692F">
      <w:pPr>
        <w:pStyle w:val="Ttulo"/>
        <w:framePr w:wrap="notBeside"/>
      </w:pPr>
      <w:r>
        <w:t>Template for Preparation of Papers for IEEE Sponsored Conferences &amp; Symposia*</w:t>
      </w:r>
    </w:p>
    <w:p w:rsidR="00C2692F" w:rsidRDefault="00C2692F" w:rsidP="00C2692F">
      <w:pPr>
        <w:pStyle w:val="Authors"/>
        <w:framePr w:wrap="notBeside" w:x="1614"/>
      </w:pPr>
      <w:r>
        <w:t xml:space="preserve">First A. Author, Second B. Author, Jr., and Third C. Author, </w:t>
      </w:r>
      <w:r>
        <w:rPr>
          <w:rStyle w:val="MemberType"/>
        </w:rPr>
        <w:t>Member, IEEE</w:t>
      </w:r>
    </w:p>
    <w:p w:rsidR="00C2692F" w:rsidRDefault="00C2692F" w:rsidP="00C2692F">
      <w:pPr>
        <w:pStyle w:val="Abstract"/>
        <w:spacing w:before="0"/>
      </w:pPr>
      <w:r>
        <w:rPr>
          <w:i/>
          <w:iCs/>
        </w:rPr>
        <w:t>Abstract</w:t>
      </w:r>
      <w:r>
        <w:t>—</w:t>
      </w:r>
      <w:r w:rsidRPr="00B32A40">
        <w:t xml:space="preserve"> </w:t>
      </w:r>
      <w:r w:rsidR="005E22A2" w:rsidRPr="003D2674">
        <w:rPr>
          <w:color w:val="FF0000"/>
          <w:highlight w:val="lightGray"/>
        </w:rPr>
        <w:t>[Summary</w:t>
      </w:r>
      <w:r w:rsidR="00004AC2">
        <w:rPr>
          <w:color w:val="FF0000"/>
          <w:highlight w:val="lightGray"/>
        </w:rPr>
        <w:t xml:space="preserve">: what </w:t>
      </w:r>
      <w:r w:rsidR="003779D0">
        <w:rPr>
          <w:color w:val="FF0000"/>
          <w:highlight w:val="lightGray"/>
        </w:rPr>
        <w:t>we</w:t>
      </w:r>
      <w:r w:rsidR="00004AC2">
        <w:rPr>
          <w:color w:val="FF0000"/>
          <w:highlight w:val="lightGray"/>
        </w:rPr>
        <w:t xml:space="preserve"> are going to tell</w:t>
      </w:r>
      <w:r w:rsidR="003779D0">
        <w:rPr>
          <w:color w:val="FF0000"/>
          <w:highlight w:val="lightGray"/>
        </w:rPr>
        <w:t xml:space="preserve"> the readers</w:t>
      </w:r>
      <w:r w:rsidR="005E22A2">
        <w:rPr>
          <w:color w:val="FF0000"/>
          <w:highlight w:val="lightGray"/>
        </w:rPr>
        <w:t xml:space="preserve"> (typically 150-250 words): tell a reader in a nutshell: what the paper is about, why is it significant, what is the main novel idea/methodology that is introduced, what are the main findings, conclusions. Guideline: in early phase of writing, should plan to spend half as much time on writing, reviewing, and editing abstract as on the rest of the manuscript</w:t>
      </w:r>
      <w:r w:rsidR="006229AE">
        <w:rPr>
          <w:color w:val="FF0000"/>
          <w:highlight w:val="lightGray"/>
        </w:rPr>
        <w:t>. Ref.: How to Write an ABSTRACT.pdf</w:t>
      </w:r>
      <w:r w:rsidR="005E22A2" w:rsidRPr="003D2674">
        <w:rPr>
          <w:color w:val="FF0000"/>
          <w:highlight w:val="lightGray"/>
        </w:rPr>
        <w:t>]</w:t>
      </w:r>
      <w:r w:rsidR="005E22A2">
        <w:rPr>
          <w:highlight w:val="lightGray"/>
        </w:rPr>
        <w:t xml:space="preserve"> </w:t>
      </w:r>
      <w:r>
        <w:t xml:space="preserve">This electronic document is a “live” template. The various components of </w:t>
      </w:r>
      <w:r w:rsidRPr="005B520E">
        <w:t>your</w:t>
      </w:r>
      <w:r>
        <w:t xml:space="preserve"> paper [title, text, heads, etc.] are already defined on the style sheet, as illustrated by the portions given in this document.</w:t>
      </w:r>
    </w:p>
    <w:p w:rsidR="00C2692F" w:rsidRDefault="00C2692F" w:rsidP="00C2692F">
      <w:pPr>
        <w:pStyle w:val="Ttulo1"/>
        <w:spacing w:before="120" w:after="120"/>
      </w:pPr>
      <w:r>
        <w:t>I</w:t>
      </w:r>
      <w:r>
        <w:rPr>
          <w:sz w:val="16"/>
          <w:szCs w:val="16"/>
        </w:rPr>
        <w:t>NTR</w:t>
      </w:r>
      <w:bookmarkStart w:id="0" w:name="_GoBack"/>
      <w:bookmarkEnd w:id="0"/>
      <w:r>
        <w:rPr>
          <w:sz w:val="16"/>
          <w:szCs w:val="16"/>
        </w:rPr>
        <w:t>ODUCTION</w:t>
      </w:r>
    </w:p>
    <w:p w:rsidR="007360EE" w:rsidRDefault="006B2C13" w:rsidP="00C2692F">
      <w:pPr>
        <w:pStyle w:val="Textoindependiente"/>
        <w:rPr>
          <w:color w:val="FF0000"/>
          <w:highlight w:val="lightGray"/>
        </w:rPr>
      </w:pPr>
      <w:r w:rsidRPr="003D2674">
        <w:rPr>
          <w:color w:val="FF0000"/>
          <w:highlight w:val="lightGray"/>
        </w:rPr>
        <w:t>[</w:t>
      </w:r>
      <w:r w:rsidR="00B10564" w:rsidRPr="003D2674">
        <w:rPr>
          <w:color w:val="FF0000"/>
          <w:highlight w:val="lightGray"/>
        </w:rPr>
        <w:t xml:space="preserve">Intro or </w:t>
      </w:r>
      <w:r w:rsidR="00B10564">
        <w:rPr>
          <w:color w:val="FF0000"/>
          <w:highlight w:val="lightGray"/>
        </w:rPr>
        <w:t>Objective, including Background. But GET TO THE POINT!: 1</w:t>
      </w:r>
      <w:r w:rsidR="00B10564">
        <w:rPr>
          <w:color w:val="FF0000"/>
          <w:highlight w:val="lightGray"/>
          <w:vertAlign w:val="superscript"/>
        </w:rPr>
        <w:t xml:space="preserve">st </w:t>
      </w:r>
      <w:r w:rsidR="00B10564">
        <w:rPr>
          <w:color w:val="FF0000"/>
          <w:highlight w:val="lightGray"/>
        </w:rPr>
        <w:t>Paragraph: explain the purpose of the paper (jump directly to the central idea, what the paper is about) and thereby interest the reader to continue reading, Formula: “Get them interested, then tell them where the info is”; write every sentence as if the’ll toss your paper if the first half of the sentence isn’t interesting.</w:t>
      </w:r>
      <w:r w:rsidR="007360EE">
        <w:rPr>
          <w:color w:val="FF0000"/>
          <w:highlight w:val="lightGray"/>
        </w:rPr>
        <w:t>]</w:t>
      </w:r>
    </w:p>
    <w:p w:rsidR="007360EE" w:rsidRDefault="007360EE" w:rsidP="00C2692F">
      <w:pPr>
        <w:pStyle w:val="Textoindependiente"/>
        <w:rPr>
          <w:color w:val="FF0000"/>
        </w:rPr>
      </w:pPr>
      <w:r>
        <w:rPr>
          <w:color w:val="FF0000"/>
          <w:highlight w:val="lightGray"/>
        </w:rPr>
        <w:t>[</w:t>
      </w:r>
      <w:r w:rsidR="00B10564">
        <w:rPr>
          <w:color w:val="FF0000"/>
          <w:highlight w:val="lightGray"/>
        </w:rPr>
        <w:t xml:space="preserve">Do not write last paragraph as a detailed table of contents; instead, distribute references to each section into the whole introduction, echoing the clear logical progression of sections, in logical place and progression; each section number should be referenced after its description, and not before. Don’t mention your “Conclusions” section at all unless you want to point out sth. </w:t>
      </w:r>
      <w:r w:rsidR="005E28B0">
        <w:rPr>
          <w:color w:val="FF0000"/>
          <w:highlight w:val="lightGray"/>
        </w:rPr>
        <w:t>s</w:t>
      </w:r>
      <w:r w:rsidR="00B10564">
        <w:rPr>
          <w:color w:val="FF0000"/>
          <w:highlight w:val="lightGray"/>
        </w:rPr>
        <w:t>pecific about it.</w:t>
      </w:r>
      <w:r w:rsidR="006B2C13" w:rsidRPr="003D2674">
        <w:rPr>
          <w:color w:val="FF0000"/>
          <w:highlight w:val="lightGray"/>
        </w:rPr>
        <w:t>]</w:t>
      </w:r>
      <w:r w:rsidR="006B2C13">
        <w:rPr>
          <w:color w:val="FF0000"/>
          <w:highlight w:val="lightGray"/>
        </w:rPr>
        <w:t xml:space="preserve"> </w:t>
      </w:r>
    </w:p>
    <w:p w:rsidR="00C2692F" w:rsidRDefault="00C2692F" w:rsidP="00C2692F">
      <w:pPr>
        <w:pStyle w:val="Textoindependiente"/>
      </w:pPr>
      <w:r w:rsidRPr="005B520E">
        <w:t xml:space="preserve">This template, </w:t>
      </w:r>
      <w:r>
        <w:t>modified</w:t>
      </w:r>
      <w:r w:rsidRPr="005B520E">
        <w:t xml:space="preserve"> in MS Word 200</w:t>
      </w:r>
      <w:r>
        <w:t>3</w:t>
      </w:r>
      <w:r w:rsidRPr="005B520E">
        <w:t xml:space="preserve"> and saved as “Word 97-2003 &amp; 6.0/95 – RTF”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w:t>
      </w:r>
      <w:r w:rsidRPr="00386751">
        <w:rPr>
          <w:highlight w:val="cyan"/>
        </w:rPr>
        <w:t>examples of the type styles</w:t>
      </w:r>
      <w:r w:rsidRPr="005B520E">
        <w:t xml:space="preserve"> are provided throughout this document and are identified in </w:t>
      </w:r>
      <w:r w:rsidRPr="00386751">
        <w:rPr>
          <w:highlight w:val="cyan"/>
        </w:rPr>
        <w:t>italic type, within parentheses</w:t>
      </w:r>
      <w:r w:rsidRPr="005B520E">
        <w:t>,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6B1568" w:rsidRDefault="006B1568" w:rsidP="006B1568">
      <w:pPr>
        <w:pStyle w:val="Textoindependiente"/>
      </w:pPr>
      <w:r w:rsidRPr="003D2674">
        <w:rPr>
          <w:color w:val="FF0000"/>
          <w:highlight w:val="lightGray"/>
        </w:rPr>
        <w:t>[</w:t>
      </w:r>
      <w:r>
        <w:rPr>
          <w:color w:val="FF0000"/>
          <w:highlight w:val="lightGray"/>
        </w:rPr>
        <w:t xml:space="preserve">Sections of the paper shall follow a clear logical progression. </w:t>
      </w:r>
      <w:r w:rsidRPr="003D2674">
        <w:rPr>
          <w:color w:val="FF0000"/>
          <w:highlight w:val="lightGray"/>
        </w:rPr>
        <w:t>Procedures, including schematics, wiring or block diagrams, etc.]</w:t>
      </w:r>
    </w:p>
    <w:p w:rsidR="00C2692F" w:rsidRDefault="00C2692F" w:rsidP="00C2692F">
      <w:pPr>
        <w:pStyle w:val="Ttulo1"/>
        <w:spacing w:before="120" w:after="120"/>
      </w:pPr>
      <w:r>
        <w:t>Procedure for Paper Submission</w:t>
      </w:r>
    </w:p>
    <w:p w:rsidR="00C2692F" w:rsidRDefault="00C2692F" w:rsidP="00C2692F">
      <w:pPr>
        <w:pStyle w:val="Ttulo2"/>
        <w:keepLines/>
        <w:numPr>
          <w:ilvl w:val="1"/>
          <w:numId w:val="0"/>
        </w:numPr>
        <w:tabs>
          <w:tab w:val="num" w:pos="360"/>
        </w:tabs>
        <w:autoSpaceDE/>
        <w:autoSpaceDN/>
        <w:ind w:left="288" w:hanging="288"/>
      </w:pPr>
      <w:r>
        <w:t>A.</w:t>
      </w:r>
      <w:r>
        <w:tab/>
        <w:t xml:space="preserve">Selecting a Template </w:t>
      </w:r>
      <w:r w:rsidRPr="00386751">
        <w:rPr>
          <w:highlight w:val="cyan"/>
        </w:rPr>
        <w:t>(Heading 2)</w:t>
      </w:r>
    </w:p>
    <w:p w:rsidR="00C2692F" w:rsidRPr="005B520E" w:rsidRDefault="00C2692F" w:rsidP="00C2692F">
      <w:pPr>
        <w:pStyle w:val="Textoindependiente"/>
      </w:pPr>
      <w:r w:rsidRPr="005B520E">
        <w:t>First, confirm that you have the correct template for your paper size. This template has been tailored for outp</w:t>
      </w:r>
      <w:r>
        <w:t>ut on the US-letter paper size. Please do not use it for A4 paper since the margin requirements for A4 papers may be different from Letter paper size.</w:t>
      </w:r>
    </w:p>
    <w:p w:rsidR="00C2692F" w:rsidRPr="005B520E" w:rsidRDefault="00C2692F" w:rsidP="00C2692F">
      <w:pPr>
        <w:pStyle w:val="Ttulo2"/>
        <w:keepLines/>
        <w:numPr>
          <w:ilvl w:val="1"/>
          <w:numId w:val="0"/>
        </w:numPr>
        <w:tabs>
          <w:tab w:val="num" w:pos="360"/>
        </w:tabs>
        <w:autoSpaceDE/>
        <w:autoSpaceDN/>
        <w:ind w:left="288" w:hanging="288"/>
      </w:pPr>
      <w:r>
        <w:t>B.</w:t>
      </w:r>
      <w:r>
        <w:tab/>
      </w:r>
      <w:r w:rsidRPr="005B520E">
        <w:t>Maintaining the Integrity of the Specifications</w:t>
      </w:r>
    </w:p>
    <w:p w:rsidR="00C2692F" w:rsidRDefault="00C2692F" w:rsidP="00C2692F">
      <w:pPr>
        <w:pStyle w:val="Textoindependiente"/>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C2692F" w:rsidRDefault="00C2692F" w:rsidP="00C2692F">
      <w:pPr>
        <w:pStyle w:val="Ttulo1"/>
        <w:spacing w:before="120" w:after="120"/>
      </w:pPr>
      <w:r>
        <w:t>M</w:t>
      </w:r>
      <w:r>
        <w:rPr>
          <w:sz w:val="16"/>
          <w:szCs w:val="16"/>
        </w:rPr>
        <w:t>ATH</w:t>
      </w:r>
    </w:p>
    <w:p w:rsidR="00C2692F" w:rsidRPr="005B520E" w:rsidRDefault="00C2692F" w:rsidP="00C2692F">
      <w:pPr>
        <w:pStyle w:val="Textoindependiente"/>
      </w:pPr>
      <w:r w:rsidRPr="00D5487D">
        <w:rPr>
          <w:highlight w:val="yellow"/>
        </w:rP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r w:rsidRPr="005B520E">
        <w:t>.</w:t>
      </w:r>
    </w:p>
    <w:p w:rsidR="00C2692F" w:rsidRPr="005B520E" w:rsidRDefault="00C2692F" w:rsidP="00C2692F">
      <w:pPr>
        <w:pStyle w:val="Textoindependiente"/>
      </w:pPr>
      <w:r w:rsidRPr="005B520E">
        <w:t>Finally, complete content and organizational editing before formatting. Please take note of the following items when proofreading spelling and grammar:</w:t>
      </w:r>
    </w:p>
    <w:p w:rsidR="00C2692F" w:rsidRDefault="00C2692F" w:rsidP="00C2692F">
      <w:pPr>
        <w:pStyle w:val="Ttulo2"/>
        <w:keepLines/>
        <w:numPr>
          <w:ilvl w:val="1"/>
          <w:numId w:val="0"/>
        </w:numPr>
        <w:tabs>
          <w:tab w:val="num" w:pos="360"/>
        </w:tabs>
        <w:autoSpaceDE/>
        <w:autoSpaceDN/>
        <w:ind w:left="288" w:hanging="288"/>
      </w:pPr>
      <w:r>
        <w:t xml:space="preserve">A. </w:t>
      </w:r>
      <w:r>
        <w:tab/>
        <w:t>Abbreviations and Acronyms</w:t>
      </w:r>
    </w:p>
    <w:p w:rsidR="00C2692F" w:rsidRPr="005B520E" w:rsidRDefault="00C2692F" w:rsidP="00C2692F">
      <w:pPr>
        <w:pStyle w:val="Textoindependiente"/>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rsidR="00C2692F" w:rsidRDefault="00C2692F" w:rsidP="00C2692F">
      <w:pPr>
        <w:pStyle w:val="Ttulo2"/>
        <w:keepLines/>
        <w:numPr>
          <w:ilvl w:val="1"/>
          <w:numId w:val="0"/>
        </w:numPr>
        <w:tabs>
          <w:tab w:val="num" w:pos="360"/>
        </w:tabs>
        <w:autoSpaceDE/>
        <w:autoSpaceDN/>
        <w:ind w:left="288" w:hanging="288"/>
      </w:pPr>
      <w:r>
        <w:t>B.</w:t>
      </w:r>
      <w:r>
        <w:tab/>
        <w:t>Units</w:t>
      </w:r>
    </w:p>
    <w:p w:rsidR="00C2692F" w:rsidRPr="005B520E" w:rsidRDefault="00C2692F" w:rsidP="00C2692F">
      <w:pPr>
        <w:pStyle w:val="bulletlist"/>
      </w:pPr>
      <w:r w:rsidRPr="005B520E">
        <w:t xml:space="preserve">Use either SI (MKS) or CGS as primary units. (SI units are encouraged.) English units may be used as secondary units (in parentheses). An exception would </w:t>
      </w:r>
      <w:r w:rsidRPr="005B520E">
        <w:lastRenderedPageBreak/>
        <w:t>be the use of English units as identifiers in trade, such as “3.5-inch disk drive”.</w:t>
      </w:r>
    </w:p>
    <w:p w:rsidR="00C2692F" w:rsidRPr="005B520E" w:rsidRDefault="00C2692F" w:rsidP="00C2692F">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rsidR="00C2692F" w:rsidRPr="005B520E" w:rsidRDefault="00C2692F" w:rsidP="00C2692F">
      <w:pPr>
        <w:pStyle w:val="bulletlist"/>
      </w:pPr>
      <w:r w:rsidRPr="005B520E">
        <w:t>Do not mix complete spellings and abbreviations of units: “Wb/m2” or “webers per square meter”, not “webers/m2”.  Spell out units when they appear in text: “. . . a few henries”, not “. . . a few H”.</w:t>
      </w:r>
    </w:p>
    <w:p w:rsidR="00C2692F" w:rsidRPr="005B520E" w:rsidRDefault="00C2692F" w:rsidP="00C2692F">
      <w:pPr>
        <w:pStyle w:val="bulletlist"/>
      </w:pPr>
      <w:r w:rsidRPr="005B520E">
        <w:t xml:space="preserve">Use a zero before decimal points: “0.25”, not “.25”. Use “cm3”, not “cc”. </w:t>
      </w:r>
      <w:r w:rsidRPr="00386751">
        <w:rPr>
          <w:highlight w:val="cyan"/>
        </w:rPr>
        <w:t>(</w:t>
      </w:r>
      <w:r w:rsidRPr="00386751">
        <w:rPr>
          <w:i/>
          <w:iCs/>
          <w:highlight w:val="cyan"/>
        </w:rPr>
        <w:t>bullet list</w:t>
      </w:r>
      <w:r w:rsidRPr="00386751">
        <w:rPr>
          <w:highlight w:val="cyan"/>
        </w:rPr>
        <w:t>)</w:t>
      </w:r>
    </w:p>
    <w:p w:rsidR="00C2692F" w:rsidRPr="005B520E" w:rsidRDefault="00C2692F" w:rsidP="00C2692F">
      <w:pPr>
        <w:pStyle w:val="Ttulo2"/>
        <w:keepLines/>
        <w:numPr>
          <w:ilvl w:val="1"/>
          <w:numId w:val="0"/>
        </w:numPr>
        <w:tabs>
          <w:tab w:val="num" w:pos="360"/>
        </w:tabs>
        <w:autoSpaceDE/>
        <w:autoSpaceDN/>
        <w:ind w:left="288" w:hanging="288"/>
      </w:pPr>
      <w:r>
        <w:t>C.</w:t>
      </w:r>
      <w:r>
        <w:tab/>
      </w:r>
      <w:r w:rsidRPr="00B74EBE">
        <w:rPr>
          <w:highlight w:val="yellow"/>
        </w:rPr>
        <w:t>Equations</w:t>
      </w:r>
    </w:p>
    <w:p w:rsidR="00C2692F" w:rsidRPr="005B520E" w:rsidRDefault="00C2692F" w:rsidP="00C2692F">
      <w:pPr>
        <w:pStyle w:val="Textoindependiente"/>
      </w:pPr>
      <w:r w:rsidRPr="005B520E">
        <w:t xml:space="preserve">The equations are an exception to the prescribed specifications of this template. You will need to determine whether or not your equation should be typed using either the </w:t>
      </w:r>
      <w:r w:rsidRPr="001C6BD9">
        <w:rPr>
          <w:highlight w:val="yellow"/>
        </w:rPr>
        <w:t>Times New Roman or the Symbol font</w:t>
      </w:r>
      <w:r w:rsidRPr="005B520E">
        <w:t xml:space="preserve"> (please no other font). To create multileveled equations, it may be necessary to treat the equation as a graphic and insert it into the </w:t>
      </w:r>
      <w:r>
        <w:t xml:space="preserve">text after your paper is styled. </w:t>
      </w: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rsidR="00C2692F" w:rsidRPr="005B520E" w:rsidRDefault="00C2692F" w:rsidP="00C2692F">
      <w:pPr>
        <w:pStyle w:val="equation0"/>
        <w:spacing w:before="120" w:after="120"/>
      </w:pPr>
      <w:r w:rsidRPr="005B520E">
        <w:tab/>
      </w:r>
      <w:r>
        <w:t></w:t>
      </w:r>
      <w:r>
        <w:t></w:t>
      </w:r>
      <w:r>
        <w:t></w:t>
      </w:r>
      <w:r>
        <w:t></w:t>
      </w:r>
      <w:r>
        <w:t></w:t>
      </w:r>
      <w:r>
        <w:t></w:t>
      </w:r>
      <w:r>
        <w:t></w:t>
      </w:r>
      <w:r>
        <w:t></w:t>
      </w:r>
      <w:r>
        <w:t></w:t>
      </w:r>
      <w:r>
        <w:t></w:t>
      </w:r>
      <w:r>
        <w:t></w:t>
      </w:r>
      <w:r>
        <w:t></w:t>
      </w:r>
      <w:r>
        <w:tab/>
      </w:r>
      <w:r>
        <w:t></w:t>
      </w:r>
      <w:r>
        <w:t></w:t>
      </w:r>
      <w:r>
        <w:t></w:t>
      </w:r>
    </w:p>
    <w:p w:rsidR="00C2692F" w:rsidRDefault="00C2692F" w:rsidP="00C2692F">
      <w:pPr>
        <w:pStyle w:val="Textoindependiente"/>
      </w:pPr>
      <w:r>
        <w:t>Note that the equation is centered using a center tab stop. Be sure that the symbols in your equation have been defined before or immediately following the equation. Use “(1)”, not “Eq. (1)” or “equation (1)”, except at the beginning of a sentence: “Equation (1) is . . .”</w:t>
      </w:r>
    </w:p>
    <w:p w:rsidR="00C2692F" w:rsidRDefault="00C2692F" w:rsidP="00C2692F">
      <w:pPr>
        <w:pStyle w:val="Ttulo2"/>
        <w:keepLines/>
        <w:numPr>
          <w:ilvl w:val="1"/>
          <w:numId w:val="0"/>
        </w:numPr>
        <w:tabs>
          <w:tab w:val="num" w:pos="360"/>
        </w:tabs>
        <w:autoSpaceDE/>
        <w:autoSpaceDN/>
        <w:ind w:left="288" w:hanging="288"/>
      </w:pPr>
      <w:r>
        <w:t>D.</w:t>
      </w:r>
      <w:r>
        <w:tab/>
        <w:t>Some Common Mistakes</w:t>
      </w:r>
    </w:p>
    <w:p w:rsidR="00C2692F" w:rsidRPr="005B520E" w:rsidRDefault="00C2692F" w:rsidP="00C2692F">
      <w:pPr>
        <w:pStyle w:val="bulletlist"/>
      </w:pPr>
      <w:r w:rsidRPr="005B520E">
        <w:t>The word “data” is plural, not singular.</w:t>
      </w:r>
    </w:p>
    <w:p w:rsidR="00C2692F" w:rsidRPr="005B520E" w:rsidRDefault="00C2692F" w:rsidP="00C2692F">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C2692F" w:rsidRPr="005B520E" w:rsidRDefault="00C2692F" w:rsidP="00C2692F">
      <w:pPr>
        <w:pStyle w:val="bulletlist"/>
      </w:pPr>
      <w:r w:rsidRPr="005B520E">
        <w:t xml:space="preserve">In </w:t>
      </w:r>
      <w:r w:rsidRPr="009C79A7">
        <w:rPr>
          <w:highlight w:val="yellow"/>
        </w:rPr>
        <w:t>American English</w:t>
      </w:r>
      <w:r w:rsidRPr="005B520E">
        <w:t xml:space="preserve">, commas, semi-/colons, periods, question and exclamation marks are located within </w:t>
      </w:r>
      <w:r w:rsidRPr="009C79A7">
        <w:rPr>
          <w:highlight w:val="yellow"/>
        </w:rPr>
        <w:t>quotation marks</w:t>
      </w:r>
      <w:r w:rsidRPr="005B520E">
        <w:t xml:space="preserve">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w:t>
      </w:r>
      <w:r w:rsidRPr="009C79A7">
        <w:rPr>
          <w:highlight w:val="cyan"/>
        </w:rPr>
        <w:t>(like this).</w:t>
      </w:r>
      <w:r w:rsidRPr="005B520E">
        <w:t xml:space="preserve"> (A parenthetical sentence is punctuated within the parentheses</w:t>
      </w:r>
      <w:r w:rsidRPr="009C79A7">
        <w:rPr>
          <w:highlight w:val="cyan"/>
        </w:rPr>
        <w:t>.</w:t>
      </w:r>
      <w:r w:rsidRPr="005B520E">
        <w:t>)</w:t>
      </w:r>
    </w:p>
    <w:p w:rsidR="00C2692F" w:rsidRPr="005B520E" w:rsidRDefault="00C2692F" w:rsidP="00C2692F">
      <w:pPr>
        <w:pStyle w:val="bulletlist"/>
      </w:pPr>
      <w:r w:rsidRPr="005B520E">
        <w:t>A graph within a graph is an “inset”, not an “insert”. The word alternatively is preferred to the word “alternately” (unless you really mean something that alternates).</w:t>
      </w:r>
    </w:p>
    <w:p w:rsidR="00C2692F" w:rsidRPr="005B520E" w:rsidRDefault="00C2692F" w:rsidP="00C2692F">
      <w:pPr>
        <w:pStyle w:val="bulletlist"/>
      </w:pPr>
      <w:r w:rsidRPr="005B520E">
        <w:t>Do not use the word “essentially” to mean “approximately” or “effectively”.</w:t>
      </w:r>
    </w:p>
    <w:p w:rsidR="00C2692F" w:rsidRPr="005B520E" w:rsidRDefault="00C2692F" w:rsidP="00C2692F">
      <w:pPr>
        <w:pStyle w:val="bulletlist"/>
      </w:pPr>
      <w:r w:rsidRPr="005B520E">
        <w:t>In your paper title, if the words “that uses” can accurately replace the word “using”, capitalize the “u”; if not, keep using lower-cased.</w:t>
      </w:r>
    </w:p>
    <w:p w:rsidR="00C2692F" w:rsidRPr="005B520E" w:rsidRDefault="00C2692F" w:rsidP="00C2692F">
      <w:pPr>
        <w:pStyle w:val="bulletlist"/>
      </w:pPr>
      <w:r w:rsidRPr="005B520E">
        <w:t>Be aware of the different meanings of the homophones “affect” and “effect”, “complement” and “compliment”, “discreet” and “discrete”, “principal” and “principle”.</w:t>
      </w:r>
    </w:p>
    <w:p w:rsidR="00C2692F" w:rsidRPr="005B520E" w:rsidRDefault="00C2692F" w:rsidP="00C2692F">
      <w:pPr>
        <w:pStyle w:val="bulletlist"/>
      </w:pPr>
      <w:r w:rsidRPr="005B520E">
        <w:t>Do not confuse “imply” and “infer”.</w:t>
      </w:r>
    </w:p>
    <w:p w:rsidR="00C2692F" w:rsidRPr="005B520E" w:rsidRDefault="00C2692F" w:rsidP="00C2692F">
      <w:pPr>
        <w:pStyle w:val="bulletlist"/>
      </w:pPr>
      <w:r w:rsidRPr="005B520E">
        <w:t>The prefix “non” is not a word; it should be joined to the word it modifies, usually without a hyphen.</w:t>
      </w:r>
    </w:p>
    <w:p w:rsidR="00C2692F" w:rsidRPr="005B520E" w:rsidRDefault="00C2692F" w:rsidP="00C2692F">
      <w:pPr>
        <w:pStyle w:val="bulletlist"/>
      </w:pPr>
      <w:r w:rsidRPr="005B520E">
        <w:t>There is no period after the “et” in the Latin abbreviation “et al.”.</w:t>
      </w:r>
    </w:p>
    <w:p w:rsidR="00C2692F" w:rsidRPr="005B520E" w:rsidRDefault="00C2692F" w:rsidP="00C2692F">
      <w:pPr>
        <w:pStyle w:val="bulletlist"/>
      </w:pPr>
      <w:r w:rsidRPr="005B520E">
        <w:t>The abbreviation “i.e.” means “that is”, and the abbreviation “e.g.” means “for example”.</w:t>
      </w:r>
    </w:p>
    <w:p w:rsidR="00C2692F" w:rsidRDefault="00C2692F" w:rsidP="00C2692F">
      <w:pPr>
        <w:pStyle w:val="Text"/>
      </w:pPr>
      <w:r w:rsidRPr="005B520E">
        <w:t xml:space="preserve">An </w:t>
      </w:r>
      <w:r w:rsidRPr="009C79A7">
        <w:rPr>
          <w:highlight w:val="green"/>
        </w:rPr>
        <w:t>excellent style manual for science writers is [</w:t>
      </w:r>
      <w:r w:rsidR="009C79A7">
        <w:rPr>
          <w:highlight w:val="green"/>
        </w:rPr>
        <w:t>9</w:t>
      </w:r>
      <w:r w:rsidRPr="009C79A7">
        <w:rPr>
          <w:highlight w:val="green"/>
        </w:rPr>
        <w:t>].</w:t>
      </w:r>
    </w:p>
    <w:p w:rsidR="00C2692F" w:rsidRDefault="00C2692F" w:rsidP="00C2692F">
      <w:pPr>
        <w:pStyle w:val="Ttulo1"/>
        <w:spacing w:before="120" w:after="120"/>
      </w:pPr>
      <w:r>
        <w:t>Using the Template</w:t>
      </w:r>
    </w:p>
    <w:p w:rsidR="00C2692F" w:rsidRPr="005B520E" w:rsidRDefault="006229AE" w:rsidP="00C2692F">
      <w:pPr>
        <w:pStyle w:val="Textoindependiente"/>
      </w:pPr>
      <w:r w:rsidRPr="003D2674">
        <w:rPr>
          <w:color w:val="FF0000"/>
          <w:highlight w:val="lightGray"/>
        </w:rPr>
        <w:t>[Results, including Observations]</w:t>
      </w:r>
      <w:r w:rsidR="00C2692F" w:rsidRPr="005B520E">
        <w:t xml:space="preserve">After the text edit has been completed, the paper is ready for the template. Duplicate the template file by using the Save As command, and use the </w:t>
      </w:r>
      <w:r w:rsidR="00C2692F" w:rsidRPr="00EC6A5A">
        <w:rPr>
          <w:highlight w:val="yellow"/>
        </w:rPr>
        <w:t>naming convention prescribed by your conference</w:t>
      </w:r>
      <w:r w:rsidR="00C2692F" w:rsidRPr="005B520E">
        <w:t xml:space="preserve"> for the name of your paper. In this newly created file, highlight all of the contents and import your prepared text file. You are now ready to style your paper; use the scroll down window on the left of the MS Word Formatting toolbar.</w:t>
      </w:r>
    </w:p>
    <w:p w:rsidR="00C2692F" w:rsidRDefault="00C2692F" w:rsidP="00C2692F">
      <w:pPr>
        <w:pStyle w:val="Ttulo2"/>
        <w:keepLines/>
        <w:numPr>
          <w:ilvl w:val="1"/>
          <w:numId w:val="0"/>
        </w:numPr>
        <w:tabs>
          <w:tab w:val="num" w:pos="360"/>
        </w:tabs>
        <w:autoSpaceDE/>
        <w:autoSpaceDN/>
        <w:ind w:left="288" w:hanging="288"/>
      </w:pPr>
      <w:r>
        <w:t>A.</w:t>
      </w:r>
      <w:r>
        <w:tab/>
      </w:r>
      <w:r w:rsidRPr="005B520E">
        <w:t>Authors</w:t>
      </w:r>
      <w:r>
        <w:t xml:space="preserve"> and Affiliations</w:t>
      </w:r>
    </w:p>
    <w:p w:rsidR="00C2692F" w:rsidRPr="005B520E" w:rsidRDefault="00C2692F" w:rsidP="00C2692F">
      <w:pPr>
        <w:pStyle w:val="Textoindependiente"/>
      </w:pPr>
      <w:r w:rsidRPr="005B520E">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rsidR="00C2692F" w:rsidRPr="001D2144" w:rsidRDefault="00C2692F" w:rsidP="00C2692F">
      <w:pPr>
        <w:pStyle w:val="Ttulo3"/>
        <w:keepNext w:val="0"/>
        <w:numPr>
          <w:ilvl w:val="2"/>
          <w:numId w:val="0"/>
        </w:numPr>
        <w:tabs>
          <w:tab w:val="num" w:pos="540"/>
        </w:tabs>
        <w:autoSpaceDE/>
        <w:autoSpaceDN/>
        <w:spacing w:line="240" w:lineRule="exact"/>
        <w:ind w:firstLine="180"/>
        <w:jc w:val="both"/>
      </w:pPr>
      <w:r w:rsidRPr="005B520E">
        <w:t xml:space="preserve">For author/s of only one affiliation </w:t>
      </w:r>
      <w:r w:rsidRPr="00167266">
        <w:rPr>
          <w:highlight w:val="cyan"/>
        </w:rPr>
        <w:t>(Heading 3)</w:t>
      </w:r>
      <w:r w:rsidRPr="005B520E">
        <w:t xml:space="preserve">: </w:t>
      </w:r>
      <w:r w:rsidRPr="005B520E">
        <w:rPr>
          <w:i w:val="0"/>
          <w:iCs w:val="0"/>
        </w:rPr>
        <w:t xml:space="preserve">To change the </w:t>
      </w:r>
      <w:r w:rsidRPr="001D2144">
        <w:rPr>
          <w:i w:val="0"/>
          <w:iCs w:val="0"/>
        </w:rPr>
        <w:t>default, adjust the template as follows.</w:t>
      </w:r>
    </w:p>
    <w:p w:rsidR="00C2692F" w:rsidRPr="001D2144" w:rsidRDefault="00C2692F" w:rsidP="00C2692F">
      <w:pPr>
        <w:pStyle w:val="Ttulo4"/>
        <w:keepNext w:val="0"/>
        <w:numPr>
          <w:ilvl w:val="3"/>
          <w:numId w:val="0"/>
        </w:numPr>
        <w:tabs>
          <w:tab w:val="num" w:pos="630"/>
          <w:tab w:val="num" w:pos="720"/>
        </w:tabs>
        <w:autoSpaceDE/>
        <w:autoSpaceDN/>
        <w:spacing w:before="40" w:after="40"/>
        <w:ind w:firstLine="360"/>
        <w:jc w:val="both"/>
        <w:rPr>
          <w:i w:val="0"/>
          <w:iCs w:val="0"/>
          <w:sz w:val="20"/>
          <w:szCs w:val="20"/>
        </w:rPr>
      </w:pPr>
      <w:r w:rsidRPr="001D2144">
        <w:rPr>
          <w:sz w:val="20"/>
          <w:szCs w:val="20"/>
        </w:rPr>
        <w:t xml:space="preserve">Selection </w:t>
      </w:r>
      <w:r w:rsidRPr="00167266">
        <w:rPr>
          <w:sz w:val="20"/>
          <w:szCs w:val="20"/>
          <w:highlight w:val="cyan"/>
        </w:rPr>
        <w:t>(Heading 4)</w:t>
      </w:r>
      <w:r w:rsidRPr="001D2144">
        <w:rPr>
          <w:sz w:val="20"/>
          <w:szCs w:val="20"/>
        </w:rPr>
        <w:t xml:space="preserve">: </w:t>
      </w:r>
      <w:r w:rsidRPr="001D2144">
        <w:rPr>
          <w:i w:val="0"/>
          <w:iCs w:val="0"/>
          <w:sz w:val="20"/>
          <w:szCs w:val="20"/>
        </w:rPr>
        <w:t>Highlight all author and affiliation lines.</w:t>
      </w:r>
    </w:p>
    <w:p w:rsidR="00C2692F" w:rsidRPr="001D2144" w:rsidRDefault="00C2692F" w:rsidP="00C2692F">
      <w:pPr>
        <w:pStyle w:val="Ttulo4"/>
        <w:keepNext w:val="0"/>
        <w:numPr>
          <w:ilvl w:val="3"/>
          <w:numId w:val="0"/>
        </w:numPr>
        <w:tabs>
          <w:tab w:val="num" w:pos="630"/>
          <w:tab w:val="num" w:pos="720"/>
        </w:tabs>
        <w:autoSpaceDE/>
        <w:autoSpaceDN/>
        <w:spacing w:before="40" w:after="40"/>
        <w:ind w:firstLine="360"/>
        <w:jc w:val="both"/>
        <w:rPr>
          <w:sz w:val="20"/>
          <w:szCs w:val="20"/>
        </w:rPr>
      </w:pPr>
      <w:r w:rsidRPr="001D2144">
        <w:rPr>
          <w:sz w:val="20"/>
          <w:szCs w:val="20"/>
        </w:rPr>
        <w:t xml:space="preserve">Change number of columns: </w:t>
      </w:r>
      <w:r w:rsidRPr="001D2144">
        <w:rPr>
          <w:i w:val="0"/>
          <w:iCs w:val="0"/>
          <w:sz w:val="20"/>
          <w:szCs w:val="20"/>
        </w:rPr>
        <w:t>Select the Columns icon from the MS Word Standard toolbar and then select “1 Column” from the selection palette.</w:t>
      </w:r>
    </w:p>
    <w:p w:rsidR="00C2692F" w:rsidRPr="001D2144" w:rsidRDefault="00C2692F" w:rsidP="00C2692F">
      <w:pPr>
        <w:pStyle w:val="Ttulo4"/>
        <w:keepNext w:val="0"/>
        <w:numPr>
          <w:ilvl w:val="3"/>
          <w:numId w:val="0"/>
        </w:numPr>
        <w:tabs>
          <w:tab w:val="num" w:pos="630"/>
          <w:tab w:val="num" w:pos="720"/>
        </w:tabs>
        <w:autoSpaceDE/>
        <w:autoSpaceDN/>
        <w:spacing w:before="40" w:after="40"/>
        <w:ind w:firstLine="360"/>
        <w:jc w:val="both"/>
        <w:rPr>
          <w:sz w:val="20"/>
          <w:szCs w:val="20"/>
        </w:rPr>
      </w:pPr>
      <w:r w:rsidRPr="001D2144">
        <w:rPr>
          <w:sz w:val="20"/>
          <w:szCs w:val="20"/>
        </w:rPr>
        <w:t xml:space="preserve">Deletion: </w:t>
      </w:r>
      <w:r w:rsidRPr="001D2144">
        <w:rPr>
          <w:i w:val="0"/>
          <w:iCs w:val="0"/>
          <w:sz w:val="20"/>
          <w:szCs w:val="20"/>
        </w:rPr>
        <w:t>Delete the author and affiliation lines for the second affiliation.</w:t>
      </w:r>
    </w:p>
    <w:p w:rsidR="00C2692F" w:rsidRPr="001D2144" w:rsidRDefault="00C2692F" w:rsidP="00C2692F">
      <w:pPr>
        <w:pStyle w:val="Ttulo4"/>
        <w:keepNext w:val="0"/>
        <w:numPr>
          <w:ilvl w:val="3"/>
          <w:numId w:val="0"/>
        </w:numPr>
        <w:tabs>
          <w:tab w:val="num" w:pos="630"/>
          <w:tab w:val="num" w:pos="720"/>
        </w:tabs>
        <w:autoSpaceDE/>
        <w:autoSpaceDN/>
        <w:spacing w:before="40" w:after="40"/>
        <w:ind w:firstLine="360"/>
        <w:jc w:val="both"/>
        <w:rPr>
          <w:sz w:val="20"/>
          <w:szCs w:val="20"/>
        </w:rPr>
      </w:pPr>
      <w:r w:rsidRPr="001D2144">
        <w:rPr>
          <w:sz w:val="20"/>
          <w:szCs w:val="20"/>
        </w:rPr>
        <w:t xml:space="preserve">For author/s of more than two affiliations: </w:t>
      </w:r>
      <w:r w:rsidRPr="001D2144">
        <w:rPr>
          <w:i w:val="0"/>
          <w:iCs w:val="0"/>
          <w:sz w:val="20"/>
          <w:szCs w:val="20"/>
        </w:rPr>
        <w:t>To change the default, adjust the template as follows.</w:t>
      </w:r>
    </w:p>
    <w:p w:rsidR="00C2692F" w:rsidRPr="001D2144" w:rsidRDefault="00C2692F" w:rsidP="00C2692F">
      <w:pPr>
        <w:pStyle w:val="Ttulo4"/>
        <w:keepNext w:val="0"/>
        <w:numPr>
          <w:ilvl w:val="3"/>
          <w:numId w:val="0"/>
        </w:numPr>
        <w:tabs>
          <w:tab w:val="num" w:pos="630"/>
          <w:tab w:val="num" w:pos="720"/>
        </w:tabs>
        <w:autoSpaceDE/>
        <w:autoSpaceDN/>
        <w:spacing w:before="40" w:after="40"/>
        <w:ind w:firstLine="360"/>
        <w:jc w:val="both"/>
        <w:rPr>
          <w:sz w:val="20"/>
          <w:szCs w:val="20"/>
        </w:rPr>
      </w:pPr>
      <w:r w:rsidRPr="001D2144">
        <w:rPr>
          <w:sz w:val="20"/>
          <w:szCs w:val="20"/>
        </w:rPr>
        <w:t xml:space="preserve">Selection: </w:t>
      </w:r>
      <w:r w:rsidRPr="001D2144">
        <w:rPr>
          <w:i w:val="0"/>
          <w:iCs w:val="0"/>
          <w:sz w:val="20"/>
          <w:szCs w:val="20"/>
        </w:rPr>
        <w:t>Highlight all author and affiliation lines.</w:t>
      </w:r>
    </w:p>
    <w:p w:rsidR="00C2692F" w:rsidRPr="001D2144" w:rsidRDefault="00C2692F" w:rsidP="00C2692F">
      <w:pPr>
        <w:pStyle w:val="Ttulo4"/>
        <w:keepNext w:val="0"/>
        <w:numPr>
          <w:ilvl w:val="3"/>
          <w:numId w:val="0"/>
        </w:numPr>
        <w:tabs>
          <w:tab w:val="num" w:pos="630"/>
          <w:tab w:val="num" w:pos="720"/>
        </w:tabs>
        <w:autoSpaceDE/>
        <w:autoSpaceDN/>
        <w:spacing w:before="40" w:after="40"/>
        <w:ind w:firstLine="360"/>
        <w:jc w:val="both"/>
        <w:rPr>
          <w:sz w:val="20"/>
          <w:szCs w:val="20"/>
        </w:rPr>
      </w:pPr>
      <w:r w:rsidRPr="001D2144">
        <w:rPr>
          <w:sz w:val="20"/>
          <w:szCs w:val="20"/>
        </w:rPr>
        <w:t xml:space="preserve">Change number of columns: </w:t>
      </w:r>
      <w:r w:rsidRPr="001D2144">
        <w:rPr>
          <w:i w:val="0"/>
          <w:iCs w:val="0"/>
          <w:sz w:val="20"/>
          <w:szCs w:val="20"/>
        </w:rPr>
        <w:t>Select the “Columns” icon from the MS Word Standard toolbar and then select “1 Column” from the selection palette.</w:t>
      </w:r>
    </w:p>
    <w:p w:rsidR="00C2692F" w:rsidRPr="001D2144" w:rsidRDefault="00C2692F" w:rsidP="00C2692F">
      <w:pPr>
        <w:pStyle w:val="Ttulo4"/>
        <w:keepNext w:val="0"/>
        <w:numPr>
          <w:ilvl w:val="3"/>
          <w:numId w:val="0"/>
        </w:numPr>
        <w:tabs>
          <w:tab w:val="num" w:pos="630"/>
          <w:tab w:val="num" w:pos="720"/>
        </w:tabs>
        <w:autoSpaceDE/>
        <w:autoSpaceDN/>
        <w:spacing w:before="40" w:after="40"/>
        <w:ind w:firstLine="360"/>
        <w:jc w:val="both"/>
        <w:rPr>
          <w:sz w:val="20"/>
          <w:szCs w:val="20"/>
        </w:rPr>
      </w:pPr>
      <w:r w:rsidRPr="001D2144">
        <w:rPr>
          <w:sz w:val="20"/>
          <w:szCs w:val="20"/>
        </w:rPr>
        <w:t>Highlight author and affiliation lines of affiliation 1 and copy this selection.</w:t>
      </w:r>
    </w:p>
    <w:p w:rsidR="00C2692F" w:rsidRPr="001D2144" w:rsidRDefault="00C2692F" w:rsidP="00C2692F">
      <w:pPr>
        <w:pStyle w:val="Ttulo4"/>
        <w:keepNext w:val="0"/>
        <w:numPr>
          <w:ilvl w:val="3"/>
          <w:numId w:val="0"/>
        </w:numPr>
        <w:tabs>
          <w:tab w:val="num" w:pos="630"/>
          <w:tab w:val="num" w:pos="720"/>
        </w:tabs>
        <w:autoSpaceDE/>
        <w:autoSpaceDN/>
        <w:spacing w:before="40" w:after="40"/>
        <w:ind w:firstLine="360"/>
        <w:jc w:val="both"/>
        <w:rPr>
          <w:sz w:val="20"/>
          <w:szCs w:val="20"/>
        </w:rPr>
      </w:pPr>
      <w:r w:rsidRPr="001D2144">
        <w:rPr>
          <w:sz w:val="20"/>
          <w:szCs w:val="20"/>
        </w:rPr>
        <w:t xml:space="preserve">Formatting: </w:t>
      </w:r>
      <w:r w:rsidRPr="001D2144">
        <w:rPr>
          <w:i w:val="0"/>
          <w:iCs w:val="0"/>
          <w:sz w:val="20"/>
          <w:szCs w:val="20"/>
        </w:rPr>
        <w:t>Insert one hard return immediately after the last character of the last affiliation line. Then paste down the copy of affiliation 1. Repeat as necessary for each additional affiliation.</w:t>
      </w:r>
    </w:p>
    <w:p w:rsidR="00C2692F" w:rsidRPr="001D2144" w:rsidRDefault="00C2692F" w:rsidP="00C2692F">
      <w:pPr>
        <w:pStyle w:val="Ttulo4"/>
        <w:keepNext w:val="0"/>
        <w:numPr>
          <w:ilvl w:val="3"/>
          <w:numId w:val="0"/>
        </w:numPr>
        <w:tabs>
          <w:tab w:val="num" w:pos="630"/>
          <w:tab w:val="num" w:pos="720"/>
        </w:tabs>
        <w:autoSpaceDE/>
        <w:autoSpaceDN/>
        <w:spacing w:before="40" w:after="40"/>
        <w:ind w:firstLine="360"/>
        <w:jc w:val="both"/>
        <w:rPr>
          <w:sz w:val="20"/>
          <w:szCs w:val="20"/>
        </w:rPr>
      </w:pPr>
      <w:r w:rsidRPr="001D2144">
        <w:rPr>
          <w:sz w:val="20"/>
          <w:szCs w:val="20"/>
        </w:rPr>
        <w:t xml:space="preserve">Reassign number of columns: </w:t>
      </w:r>
      <w:r w:rsidRPr="001D2144">
        <w:rPr>
          <w:i w:val="0"/>
          <w:iCs w:val="0"/>
          <w:sz w:val="20"/>
          <w:szCs w:val="20"/>
        </w:rPr>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 number of affiliations, the final affiliation will be centered on the page; all previous will be in two columns.</w:t>
      </w:r>
    </w:p>
    <w:p w:rsidR="00C2692F" w:rsidRPr="001D2144" w:rsidRDefault="00C2692F" w:rsidP="00C2692F">
      <w:pPr>
        <w:pStyle w:val="Ttulo2"/>
        <w:keepLines/>
        <w:numPr>
          <w:ilvl w:val="1"/>
          <w:numId w:val="0"/>
        </w:numPr>
        <w:tabs>
          <w:tab w:val="num" w:pos="360"/>
        </w:tabs>
        <w:autoSpaceDE/>
        <w:autoSpaceDN/>
        <w:ind w:left="288" w:hanging="288"/>
      </w:pPr>
      <w:r w:rsidRPr="001D2144">
        <w:t>B.</w:t>
      </w:r>
      <w:r w:rsidRPr="001D2144">
        <w:tab/>
        <w:t>Identify the Headings</w:t>
      </w:r>
    </w:p>
    <w:p w:rsidR="00C2692F" w:rsidRPr="005B520E" w:rsidRDefault="00C2692F" w:rsidP="00C2692F">
      <w:pPr>
        <w:pStyle w:val="Textoindependiente"/>
      </w:pPr>
      <w:r w:rsidRPr="005B520E">
        <w:t>Headings, or heads, are organizational devices that guide the reader through your paper. There are two types: component heads and text heads.</w:t>
      </w:r>
    </w:p>
    <w:p w:rsidR="00C2692F" w:rsidRPr="005B520E" w:rsidRDefault="00C2692F" w:rsidP="00C2692F">
      <w:pPr>
        <w:pStyle w:val="Textoindependiente"/>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C2692F" w:rsidRPr="005B520E" w:rsidRDefault="00C2692F" w:rsidP="00C2692F">
      <w:pPr>
        <w:pStyle w:val="Textoindependiente"/>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C2692F" w:rsidRDefault="00C2692F" w:rsidP="00C2692F">
      <w:pPr>
        <w:pStyle w:val="Ttulo2"/>
        <w:keepLines/>
        <w:numPr>
          <w:ilvl w:val="1"/>
          <w:numId w:val="0"/>
        </w:numPr>
        <w:tabs>
          <w:tab w:val="num" w:pos="360"/>
        </w:tabs>
        <w:autoSpaceDE/>
        <w:autoSpaceDN/>
        <w:ind w:left="288" w:hanging="288"/>
      </w:pPr>
      <w:r>
        <w:t>C.</w:t>
      </w:r>
      <w:r>
        <w:tab/>
        <w:t>Figures and Tables</w:t>
      </w:r>
    </w:p>
    <w:p w:rsidR="00C2692F" w:rsidRDefault="00C2692F" w:rsidP="00C2692F">
      <w:pPr>
        <w:pStyle w:val="Ttulo3"/>
        <w:keepNext w:val="0"/>
        <w:numPr>
          <w:ilvl w:val="2"/>
          <w:numId w:val="0"/>
        </w:numPr>
        <w:tabs>
          <w:tab w:val="num" w:pos="540"/>
        </w:tabs>
        <w:autoSpaceDE/>
        <w:autoSpaceDN/>
        <w:spacing w:line="240" w:lineRule="exact"/>
        <w:ind w:firstLine="180"/>
        <w:jc w:val="both"/>
      </w:pPr>
      <w:r w:rsidRPr="005B520E">
        <w:t xml:space="preserve">Positioning Figures and Tables: </w:t>
      </w:r>
      <w:r w:rsidRPr="005B520E">
        <w:rPr>
          <w:i w:val="0"/>
          <w:iCs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C2692F" w:rsidRPr="005B520E" w:rsidRDefault="00C2692F" w:rsidP="00C2692F">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C2692F">
        <w:trPr>
          <w:cantSplit/>
          <w:trHeight w:val="240"/>
          <w:tblHeader/>
          <w:jc w:val="center"/>
        </w:trPr>
        <w:tc>
          <w:tcPr>
            <w:tcW w:w="720" w:type="dxa"/>
            <w:vMerge w:val="restart"/>
            <w:vAlign w:val="center"/>
          </w:tcPr>
          <w:p w:rsidR="00C2692F" w:rsidRDefault="00C2692F">
            <w:pPr>
              <w:pStyle w:val="tablecolhead"/>
            </w:pPr>
            <w:r>
              <w:t>Table Head</w:t>
            </w:r>
          </w:p>
        </w:tc>
        <w:tc>
          <w:tcPr>
            <w:tcW w:w="4140" w:type="dxa"/>
            <w:gridSpan w:val="3"/>
            <w:vAlign w:val="center"/>
          </w:tcPr>
          <w:p w:rsidR="00C2692F" w:rsidRDefault="00C2692F">
            <w:pPr>
              <w:pStyle w:val="tablecolhead"/>
            </w:pPr>
            <w:r>
              <w:t>Table Column Head</w:t>
            </w:r>
          </w:p>
        </w:tc>
      </w:tr>
      <w:tr w:rsidR="00C2692F">
        <w:trPr>
          <w:cantSplit/>
          <w:trHeight w:val="240"/>
          <w:tblHeader/>
          <w:jc w:val="center"/>
        </w:trPr>
        <w:tc>
          <w:tcPr>
            <w:tcW w:w="720" w:type="dxa"/>
            <w:vMerge/>
          </w:tcPr>
          <w:p w:rsidR="00C2692F" w:rsidRDefault="00C2692F">
            <w:pPr>
              <w:rPr>
                <w:sz w:val="16"/>
                <w:szCs w:val="16"/>
              </w:rPr>
            </w:pPr>
          </w:p>
        </w:tc>
        <w:tc>
          <w:tcPr>
            <w:tcW w:w="2340" w:type="dxa"/>
            <w:vAlign w:val="center"/>
          </w:tcPr>
          <w:p w:rsidR="00C2692F" w:rsidRDefault="00C2692F">
            <w:pPr>
              <w:pStyle w:val="tablecolsubhead"/>
            </w:pPr>
            <w:r>
              <w:t>Table column subhead</w:t>
            </w:r>
          </w:p>
        </w:tc>
        <w:tc>
          <w:tcPr>
            <w:tcW w:w="900" w:type="dxa"/>
            <w:vAlign w:val="center"/>
          </w:tcPr>
          <w:p w:rsidR="00C2692F" w:rsidRDefault="00C2692F">
            <w:pPr>
              <w:pStyle w:val="tablecolsubhead"/>
            </w:pPr>
            <w:r>
              <w:t>Subhead</w:t>
            </w:r>
          </w:p>
        </w:tc>
        <w:tc>
          <w:tcPr>
            <w:tcW w:w="900" w:type="dxa"/>
            <w:vAlign w:val="center"/>
          </w:tcPr>
          <w:p w:rsidR="00C2692F" w:rsidRDefault="00C2692F">
            <w:pPr>
              <w:pStyle w:val="tablecolsubhead"/>
            </w:pPr>
            <w:r>
              <w:t>Subhead</w:t>
            </w:r>
          </w:p>
        </w:tc>
      </w:tr>
      <w:tr w:rsidR="00C2692F">
        <w:trPr>
          <w:trHeight w:val="320"/>
          <w:jc w:val="center"/>
        </w:trPr>
        <w:tc>
          <w:tcPr>
            <w:tcW w:w="720" w:type="dxa"/>
            <w:vAlign w:val="center"/>
          </w:tcPr>
          <w:p w:rsidR="00C2692F" w:rsidRDefault="00C2692F">
            <w:pPr>
              <w:pStyle w:val="tablecopy"/>
              <w:rPr>
                <w:sz w:val="8"/>
                <w:szCs w:val="8"/>
              </w:rPr>
            </w:pPr>
            <w:r>
              <w:t>copy</w:t>
            </w:r>
          </w:p>
        </w:tc>
        <w:tc>
          <w:tcPr>
            <w:tcW w:w="2340" w:type="dxa"/>
            <w:vAlign w:val="center"/>
          </w:tcPr>
          <w:p w:rsidR="00C2692F" w:rsidRDefault="00C2692F">
            <w:pPr>
              <w:pStyle w:val="tablecopy"/>
            </w:pPr>
            <w:r>
              <w:t>More table copy</w:t>
            </w:r>
            <w:r>
              <w:rPr>
                <w:vertAlign w:val="superscript"/>
              </w:rPr>
              <w:t>a</w:t>
            </w:r>
          </w:p>
        </w:tc>
        <w:tc>
          <w:tcPr>
            <w:tcW w:w="900" w:type="dxa"/>
            <w:vAlign w:val="center"/>
          </w:tcPr>
          <w:p w:rsidR="00C2692F" w:rsidRDefault="00C2692F">
            <w:pPr>
              <w:rPr>
                <w:sz w:val="16"/>
                <w:szCs w:val="16"/>
              </w:rPr>
            </w:pPr>
          </w:p>
        </w:tc>
        <w:tc>
          <w:tcPr>
            <w:tcW w:w="900" w:type="dxa"/>
            <w:vAlign w:val="center"/>
          </w:tcPr>
          <w:p w:rsidR="00C2692F" w:rsidRDefault="00C2692F">
            <w:pPr>
              <w:rPr>
                <w:sz w:val="16"/>
                <w:szCs w:val="16"/>
              </w:rPr>
            </w:pPr>
          </w:p>
        </w:tc>
      </w:tr>
    </w:tbl>
    <w:p w:rsidR="00C2692F" w:rsidRPr="005B520E" w:rsidRDefault="00C2692F" w:rsidP="00C2692F">
      <w:pPr>
        <w:pStyle w:val="tablefootnote"/>
      </w:pPr>
      <w:r>
        <w:t xml:space="preserve">a. Sample of a </w:t>
      </w:r>
      <w:r w:rsidRPr="005B520E">
        <w:t>Table</w:t>
      </w:r>
      <w:r>
        <w:t xml:space="preserve"> footnote</w:t>
      </w:r>
      <w:r w:rsidRPr="00C9760B">
        <w:rPr>
          <w:highlight w:val="cyan"/>
        </w:rPr>
        <w:t>. (Table footnote)</w:t>
      </w:r>
    </w:p>
    <w:p w:rsidR="00C2692F" w:rsidRDefault="00C63EFA" w:rsidP="00C2692F">
      <w:r>
        <w:rPr>
          <w:noProof/>
          <w:lang w:val="es-AR" w:eastAsia="es-AR"/>
        </w:rPr>
        <mc:AlternateContent>
          <mc:Choice Requires="wps">
            <w:drawing>
              <wp:anchor distT="0" distB="0" distL="114300" distR="114300" simplePos="0" relativeHeight="251657728" behindDoc="1" locked="0" layoutInCell="1" allowOverlap="1" wp14:anchorId="513C9C5A" wp14:editId="1D470935">
                <wp:simplePos x="0" y="0"/>
                <wp:positionH relativeFrom="column">
                  <wp:align>right</wp:align>
                </wp:positionH>
                <wp:positionV relativeFrom="paragraph">
                  <wp:posOffset>267970</wp:posOffset>
                </wp:positionV>
                <wp:extent cx="3056255" cy="1143000"/>
                <wp:effectExtent l="0" t="0" r="10795" b="19050"/>
                <wp:wrapTight wrapText="bothSides">
                  <wp:wrapPolygon edited="0">
                    <wp:start x="0" y="0"/>
                    <wp:lineTo x="0" y="21600"/>
                    <wp:lineTo x="21542" y="21600"/>
                    <wp:lineTo x="21542" y="0"/>
                    <wp:lineTo x="0"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1143000"/>
                        </a:xfrm>
                        <a:prstGeom prst="rect">
                          <a:avLst/>
                        </a:prstGeom>
                        <a:solidFill>
                          <a:srgbClr val="FFFFFF"/>
                        </a:solidFill>
                        <a:ln w="9525">
                          <a:solidFill>
                            <a:srgbClr val="000000"/>
                          </a:solidFill>
                          <a:miter lim="800000"/>
                          <a:headEnd/>
                          <a:tailEnd/>
                        </a:ln>
                      </wps:spPr>
                      <wps:txbx>
                        <w:txbxContent>
                          <w:p w:rsidR="00C2692F" w:rsidRDefault="00C2692F" w:rsidP="00C2692F">
                            <w:pPr>
                              <w:pStyle w:val="Textoindependiente"/>
                            </w:pPr>
                            <w:r>
                              <w:t>We suggest that you use a text box to insert a graphic (which is ideally a 300 dpi TIFF or EPS file, with all fonts embedded) because, in an MSW document, this method is somewhat more stable than directly inserting a picture.</w:t>
                            </w:r>
                          </w:p>
                          <w:p w:rsidR="00C2692F" w:rsidRDefault="00C2692F" w:rsidP="00C2692F">
                            <w:pPr>
                              <w:pStyle w:val="Textoindependiente"/>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C9C5A" id="_x0000_t202" coordsize="21600,21600" o:spt="202" path="m,l,21600r21600,l21600,xe">
                <v:stroke joinstyle="miter"/>
                <v:path gradientshapeok="t" o:connecttype="rect"/>
              </v:shapetype>
              <v:shape id="Text Box 8" o:spid="_x0000_s1026" type="#_x0000_t202" style="position:absolute;margin-left:189.45pt;margin-top:21.1pt;width:240.65pt;height:90pt;z-index:-25165875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">
                <v:textbox>
                  <w:txbxContent>
                    <w:p w:rsidR="00C2692F" w:rsidRDefault="00C2692F" w:rsidP="00C2692F">
                      <w:pPr>
                        <w:pStyle w:val="Textoindependiente"/>
                      </w:pPr>
                      <w:r>
                        <w:t>We suggest that you use a text box to insert a graphic (which is ideally a 300 dpi TIFF or EPS file, with all fonts embedded) because, in an MSW document, this method is somewhat more stable than directly inserting a picture.</w:t>
                      </w:r>
                    </w:p>
                    <w:p w:rsidR="00C2692F" w:rsidRDefault="00C2692F" w:rsidP="00C2692F">
                      <w:pPr>
                        <w:pStyle w:val="Textoindependiente"/>
                      </w:pPr>
                      <w:r>
                        <w:t>To have non-visible rules on your frame, use the MSWord “Format” pull-down menu, select Text Box &gt; Colors and Lines to choose No Fill and No Line.</w:t>
                      </w:r>
                    </w:p>
                  </w:txbxContent>
                </v:textbox>
                <w10:wrap type="tight"/>
              </v:shape>
            </w:pict>
          </mc:Fallback>
        </mc:AlternateContent>
      </w:r>
    </w:p>
    <w:p w:rsidR="00C2692F" w:rsidRDefault="00C2692F" w:rsidP="00C2692F">
      <w:pPr>
        <w:pStyle w:val="figurecaption"/>
      </w:pPr>
      <w:r>
        <w:t xml:space="preserve">Example of a figure </w:t>
      </w:r>
      <w:r w:rsidRPr="005B520E">
        <w:t>caption</w:t>
      </w:r>
      <w:r>
        <w:t xml:space="preserve">. </w:t>
      </w:r>
      <w:r w:rsidRPr="00C9760B">
        <w:rPr>
          <w:i/>
          <w:iCs/>
          <w:highlight w:val="cyan"/>
        </w:rPr>
        <w:t>(figure caption)</w:t>
      </w:r>
    </w:p>
    <w:p w:rsidR="00EB1678" w:rsidRDefault="00EB1678" w:rsidP="00C2692F">
      <w:pPr>
        <w:pStyle w:val="Text"/>
      </w:pPr>
    </w:p>
    <w:p w:rsidR="00C2692F" w:rsidRDefault="00C2692F" w:rsidP="00C2692F">
      <w:pPr>
        <w:pStyle w:val="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r>
        <w:t>.</w:t>
      </w:r>
      <w:r w:rsidRPr="005B520E">
        <w:t>”</w:t>
      </w:r>
    </w:p>
    <w:p w:rsidR="00C2692F" w:rsidRDefault="00C2692F">
      <w:pPr>
        <w:pStyle w:val="Ttulo1"/>
      </w:pPr>
      <w:r>
        <w:t>Conclusion</w:t>
      </w:r>
    </w:p>
    <w:p w:rsidR="00C9760B" w:rsidRDefault="00C9760B" w:rsidP="00C9760B">
      <w:pPr>
        <w:pStyle w:val="Text"/>
        <w:rPr>
          <w:color w:val="FF0000"/>
          <w:highlight w:val="lightGray"/>
        </w:rPr>
      </w:pPr>
      <w:r w:rsidRPr="003D2674">
        <w:rPr>
          <w:color w:val="FF0000"/>
          <w:highlight w:val="lightGray"/>
        </w:rPr>
        <w:t>[Conclusions, including Discussion or Recommendations, and Future Work</w:t>
      </w:r>
      <w:r>
        <w:rPr>
          <w:color w:val="FF0000"/>
          <w:highlight w:val="lightGray"/>
        </w:rPr>
        <w:t>.]</w:t>
      </w:r>
    </w:p>
    <w:p w:rsidR="00C9760B" w:rsidRDefault="00C9760B" w:rsidP="00C9760B">
      <w:pPr>
        <w:pStyle w:val="Text"/>
        <w:rPr>
          <w:color w:val="FF0000"/>
          <w:highlight w:val="lightGray"/>
        </w:rPr>
      </w:pPr>
      <w:r>
        <w:rPr>
          <w:color w:val="FF0000"/>
          <w:highlight w:val="lightGray"/>
        </w:rPr>
        <w:t>[Conclusions SHALL NOT be a copy of the intro, changing only the tense of the verbs. Conclusions SHALL NOT be a summary. Conclusions shall synthesize the results of your paper and separate what is significant from what is not. Ideally, conclusions shoud add new information and observations that put your results in perspective: Simple test: if smb reads your conclusions before reading the rest of the paper, will they fully understand them? Yes</w:t>
      </w:r>
      <w:r w:rsidRPr="004F425D">
        <w:rPr>
          <w:color w:val="FF0000"/>
          <w:highlight w:val="lightGray"/>
        </w:rPr>
        <w:sym w:font="Wingdings" w:char="F0E0"/>
      </w:r>
      <w:r>
        <w:rPr>
          <w:color w:val="FF0000"/>
          <w:highlight w:val="lightGray"/>
        </w:rPr>
        <w:t>probably sth. Wrong. Good conclusions say things that become significant after the paper has been read, gives perspective to sights that haven’t yet been seen at the intro. Conclusion is about the implications of what the reader has learned. Also place for conjectures, wish lists and open problems</w:t>
      </w:r>
      <w:r w:rsidRPr="003D2674">
        <w:rPr>
          <w:color w:val="FF0000"/>
          <w:highlight w:val="lightGray"/>
        </w:rPr>
        <w:t>]</w:t>
      </w:r>
    </w:p>
    <w:p w:rsidR="00C2692F" w:rsidRDefault="00C2692F">
      <w:pPr>
        <w:pStyle w:val="Text"/>
      </w:pPr>
      <w:r>
        <w:t xml:space="preserve">A conclusion section is not required. Although a conclusion may review the main points of the paper, do not replicate the abstract as the conclusion. A conclusion might elaborate on the importance of the work or suggest applications and extensions. </w:t>
      </w:r>
    </w:p>
    <w:p w:rsidR="00C2692F" w:rsidRDefault="00C2692F">
      <w:pPr>
        <w:pStyle w:val="ReferenceHead"/>
      </w:pPr>
      <w:r>
        <w:t>Appendix</w:t>
      </w:r>
    </w:p>
    <w:p w:rsidR="00C2692F" w:rsidRDefault="00C2692F" w:rsidP="00C2692F">
      <w:pPr>
        <w:pStyle w:val="Text"/>
      </w:pPr>
      <w:r>
        <w:t>Appendixes should appear before the acknowledgment.</w:t>
      </w:r>
    </w:p>
    <w:p w:rsidR="00C2692F" w:rsidRDefault="00C2692F">
      <w:pPr>
        <w:pStyle w:val="ReferenceHead"/>
      </w:pPr>
      <w:r>
        <w:t>Acknowledgment</w:t>
      </w:r>
    </w:p>
    <w:p w:rsidR="00C2692F" w:rsidRDefault="00C2692F">
      <w:pPr>
        <w:pStyle w:val="Text"/>
      </w:pPr>
      <w:r w:rsidRPr="005B520E">
        <w:t>The preferred spelling of the word “acknowledgment” in America is without an “e” after the “g”. Avoid the stilted expression, “One of us (R. B. G.) thanks . . .”  Instead, try “R. B. G. thanks”. Put spons</w:t>
      </w:r>
      <w:r>
        <w:t>or acknowledgments in the unnum</w:t>
      </w:r>
      <w:r w:rsidRPr="005B520E">
        <w:t>bered footnote on the first page</w:t>
      </w:r>
      <w:r>
        <w:t>.</w:t>
      </w:r>
    </w:p>
    <w:p w:rsidR="00C2692F" w:rsidRDefault="00C2692F">
      <w:pPr>
        <w:pStyle w:val="ReferenceHead"/>
      </w:pPr>
      <w:r>
        <w:t>References</w:t>
      </w:r>
    </w:p>
    <w:p w:rsidR="00C2692F" w:rsidRDefault="00C2692F">
      <w:pPr>
        <w:numPr>
          <w:ilvl w:val="0"/>
          <w:numId w:val="19"/>
        </w:numPr>
        <w:rPr>
          <w:sz w:val="16"/>
          <w:szCs w:val="16"/>
        </w:rPr>
      </w:pPr>
      <w:r>
        <w:rPr>
          <w:sz w:val="16"/>
          <w:szCs w:val="16"/>
        </w:rPr>
        <w:t xml:space="preserve">G. O. Young, “Synthetic structure of industrial plastics (Book style with paper title and editor),” </w:t>
      </w:r>
      <w:r>
        <w:rPr>
          <w:sz w:val="16"/>
          <w:szCs w:val="16"/>
        </w:rPr>
        <w:tab/>
        <w:t xml:space="preserve">in </w:t>
      </w:r>
      <w:r>
        <w:rPr>
          <w:i/>
          <w:iCs/>
          <w:sz w:val="16"/>
          <w:szCs w:val="16"/>
        </w:rPr>
        <w:t>Plastics</w:t>
      </w:r>
      <w:r>
        <w:rPr>
          <w:sz w:val="16"/>
          <w:szCs w:val="16"/>
        </w:rPr>
        <w:t>, 2nd ed. vol. 3, J. Peters, Ed.  New York: McGraw-Hill, 1964, pp. 15–64.</w:t>
      </w:r>
    </w:p>
    <w:p w:rsidR="00C2692F" w:rsidRDefault="00C2692F">
      <w:pPr>
        <w:numPr>
          <w:ilvl w:val="0"/>
          <w:numId w:val="19"/>
        </w:numPr>
        <w:rPr>
          <w:sz w:val="16"/>
          <w:szCs w:val="16"/>
        </w:rPr>
      </w:pPr>
      <w:r>
        <w:rPr>
          <w:sz w:val="16"/>
          <w:szCs w:val="16"/>
        </w:rPr>
        <w:t xml:space="preserve">W.-K. Chen, </w:t>
      </w:r>
      <w:r>
        <w:rPr>
          <w:i/>
          <w:iCs/>
          <w:sz w:val="16"/>
          <w:szCs w:val="16"/>
        </w:rPr>
        <w:t>Linear Networks and Systems</w:t>
      </w:r>
      <w:r>
        <w:rPr>
          <w:sz w:val="16"/>
          <w:szCs w:val="16"/>
        </w:rPr>
        <w:t xml:space="preserve"> (Book style)</w:t>
      </w:r>
      <w:r>
        <w:rPr>
          <w:i/>
          <w:iCs/>
          <w:sz w:val="16"/>
          <w:szCs w:val="16"/>
        </w:rPr>
        <w:t>.</w:t>
      </w:r>
      <w:r>
        <w:rPr>
          <w:sz w:val="16"/>
          <w:szCs w:val="16"/>
        </w:rPr>
        <w:tab/>
        <w:t>Belmont, CA: Wadsworth, 1993, pp. 123–135.</w:t>
      </w:r>
    </w:p>
    <w:p w:rsidR="00C2692F" w:rsidRDefault="00C2692F">
      <w:pPr>
        <w:numPr>
          <w:ilvl w:val="0"/>
          <w:numId w:val="19"/>
        </w:numPr>
        <w:rPr>
          <w:sz w:val="16"/>
          <w:szCs w:val="16"/>
        </w:rPr>
      </w:pPr>
      <w:r>
        <w:rPr>
          <w:sz w:val="16"/>
          <w:szCs w:val="16"/>
        </w:rPr>
        <w:tab/>
        <w:t xml:space="preserve">H. Poor, </w:t>
      </w:r>
      <w:r>
        <w:rPr>
          <w:i/>
          <w:iCs/>
          <w:sz w:val="16"/>
          <w:szCs w:val="16"/>
        </w:rPr>
        <w:t>An Introduction to Signal Detection and Estimation</w:t>
      </w:r>
      <w:r>
        <w:rPr>
          <w:sz w:val="16"/>
          <w:szCs w:val="16"/>
        </w:rPr>
        <w:t>.   New York: Springer-Verlag, 1985, ch. 4.</w:t>
      </w:r>
    </w:p>
    <w:p w:rsidR="00C2692F" w:rsidRDefault="00C2692F">
      <w:pPr>
        <w:pStyle w:val="References"/>
        <w:numPr>
          <w:ilvl w:val="0"/>
          <w:numId w:val="19"/>
        </w:numPr>
      </w:pPr>
      <w:r>
        <w:t>B. Smith, “An approach to graphs of linear forms (Unpublished work style),” unpublished.</w:t>
      </w:r>
    </w:p>
    <w:p w:rsidR="00C2692F" w:rsidRDefault="00C2692F">
      <w:pPr>
        <w:numPr>
          <w:ilvl w:val="0"/>
          <w:numId w:val="19"/>
        </w:numPr>
        <w:rPr>
          <w:sz w:val="16"/>
          <w:szCs w:val="16"/>
        </w:rPr>
      </w:pPr>
      <w:r>
        <w:rPr>
          <w:sz w:val="16"/>
          <w:szCs w:val="16"/>
        </w:rPr>
        <w:t xml:space="preserve">E. H. Miller, “A note on reflector arrays (Periodical style—Accepted for publication),” </w:t>
      </w:r>
      <w:r>
        <w:rPr>
          <w:i/>
          <w:iCs/>
          <w:sz w:val="16"/>
          <w:szCs w:val="16"/>
        </w:rPr>
        <w:t>IEEE Trans. Antennas Propagat.</w:t>
      </w:r>
      <w:r>
        <w:rPr>
          <w:sz w:val="16"/>
          <w:szCs w:val="16"/>
        </w:rPr>
        <w:t>, to be published.</w:t>
      </w:r>
    </w:p>
    <w:p w:rsidR="00C2692F" w:rsidRDefault="00C2692F">
      <w:pPr>
        <w:numPr>
          <w:ilvl w:val="0"/>
          <w:numId w:val="19"/>
        </w:numPr>
        <w:rPr>
          <w:sz w:val="16"/>
          <w:szCs w:val="16"/>
        </w:rPr>
      </w:pPr>
      <w:r>
        <w:rPr>
          <w:sz w:val="16"/>
          <w:szCs w:val="16"/>
        </w:rPr>
        <w:t xml:space="preserve">J. Wang, “Fundamentals of erbium-doped fiber amplifiers arrays (Periodical style—Submitted for publication),” </w:t>
      </w:r>
      <w:r>
        <w:rPr>
          <w:i/>
          <w:iCs/>
          <w:sz w:val="16"/>
          <w:szCs w:val="16"/>
        </w:rPr>
        <w:t>IEEE J. Quantum Electron.</w:t>
      </w:r>
      <w:r>
        <w:rPr>
          <w:sz w:val="16"/>
          <w:szCs w:val="16"/>
        </w:rPr>
        <w:t>, submitted for publication.</w:t>
      </w:r>
    </w:p>
    <w:p w:rsidR="00C2692F" w:rsidRDefault="00C2692F">
      <w:pPr>
        <w:pStyle w:val="References"/>
        <w:numPr>
          <w:ilvl w:val="0"/>
          <w:numId w:val="19"/>
        </w:numPr>
      </w:pPr>
      <w:r>
        <w:t>C. J. Kaufman, Rocky Mountain Research Lab., Boulder, CO, private communication, May 1995.</w:t>
      </w:r>
    </w:p>
    <w:p w:rsidR="00C2692F" w:rsidRDefault="00C2692F">
      <w:pPr>
        <w:pStyle w:val="References"/>
        <w:numPr>
          <w:ilvl w:val="0"/>
          <w:numId w:val="19"/>
        </w:numPr>
      </w:pPr>
      <w:r>
        <w:t xml:space="preserve">Y. Yorozu, M. Hirano, K. Oka, and Y. Tagawa, “Electron spectroscopy studies on magneto-optical media and plastic substrate interfaces(Translation Journals style),” </w:t>
      </w:r>
      <w:r>
        <w:rPr>
          <w:i/>
          <w:iCs/>
        </w:rPr>
        <w:t>IEEE Transl. J. Magn.Jpn.</w:t>
      </w:r>
      <w:r>
        <w:t>, vol. 2, Aug. 1987, pp. 740–741 [</w:t>
      </w:r>
      <w:r>
        <w:rPr>
          <w:i/>
          <w:iCs/>
        </w:rPr>
        <w:t>Dig. 9</w:t>
      </w:r>
      <w:r>
        <w:rPr>
          <w:i/>
          <w:iCs/>
          <w:vertAlign w:val="superscript"/>
        </w:rPr>
        <w:t>th</w:t>
      </w:r>
      <w:r>
        <w:rPr>
          <w:i/>
          <w:iCs/>
        </w:rPr>
        <w:t xml:space="preserve"> Annu. Conf. Magnetics</w:t>
      </w:r>
      <w:r>
        <w:t xml:space="preserve"> Japan, 1982, p. 301].</w:t>
      </w:r>
    </w:p>
    <w:p w:rsidR="00C2692F" w:rsidRPr="009C79A7" w:rsidRDefault="00C2692F">
      <w:pPr>
        <w:pStyle w:val="References"/>
        <w:numPr>
          <w:ilvl w:val="0"/>
          <w:numId w:val="19"/>
        </w:numPr>
        <w:rPr>
          <w:highlight w:val="green"/>
        </w:rPr>
      </w:pPr>
      <w:r w:rsidRPr="009C79A7">
        <w:rPr>
          <w:highlight w:val="green"/>
        </w:rPr>
        <w:t xml:space="preserve">M. Young, </w:t>
      </w:r>
      <w:r w:rsidRPr="009C79A7">
        <w:rPr>
          <w:i/>
          <w:iCs/>
          <w:highlight w:val="green"/>
        </w:rPr>
        <w:t>The Techincal Writers Handbook.</w:t>
      </w:r>
      <w:r w:rsidRPr="009C79A7">
        <w:rPr>
          <w:highlight w:val="green"/>
        </w:rPr>
        <w:t xml:space="preserve">  Mill Valley, CA: University Science, 1989.</w:t>
      </w:r>
    </w:p>
    <w:p w:rsidR="00C2692F" w:rsidRDefault="00C2692F">
      <w:pPr>
        <w:numPr>
          <w:ilvl w:val="0"/>
          <w:numId w:val="19"/>
        </w:numPr>
        <w:rPr>
          <w:sz w:val="16"/>
          <w:szCs w:val="16"/>
        </w:rPr>
      </w:pPr>
      <w:r>
        <w:rPr>
          <w:sz w:val="16"/>
          <w:szCs w:val="16"/>
        </w:rPr>
        <w:t xml:space="preserve">J. U. Duncombe, “Infrared navigation—Part I: An assessment of feasibility (Periodical style),” </w:t>
      </w:r>
      <w:r>
        <w:rPr>
          <w:i/>
          <w:iCs/>
          <w:sz w:val="16"/>
          <w:szCs w:val="16"/>
        </w:rPr>
        <w:t>IEEE Trans. Electron Devices</w:t>
      </w:r>
      <w:r>
        <w:rPr>
          <w:sz w:val="16"/>
          <w:szCs w:val="16"/>
        </w:rPr>
        <w:t>, vol. ED-11, pp. 34–39, Jan. 1959.</w:t>
      </w:r>
    </w:p>
    <w:p w:rsidR="00C2692F" w:rsidRDefault="00C2692F">
      <w:pPr>
        <w:numPr>
          <w:ilvl w:val="0"/>
          <w:numId w:val="19"/>
        </w:numPr>
        <w:rPr>
          <w:sz w:val="16"/>
          <w:szCs w:val="16"/>
        </w:rPr>
      </w:pPr>
      <w:r>
        <w:rPr>
          <w:sz w:val="16"/>
          <w:szCs w:val="16"/>
        </w:rPr>
        <w:tab/>
        <w:t xml:space="preserve">S. Chen, B. Mulgrew, and P. M. Grant, “A clustering technique for digital communications channel equalization using radial basis function networks,” </w:t>
      </w:r>
      <w:r>
        <w:rPr>
          <w:i/>
          <w:iCs/>
          <w:sz w:val="16"/>
          <w:szCs w:val="16"/>
        </w:rPr>
        <w:t>IEEE Trans. Neural Networks</w:t>
      </w:r>
      <w:r>
        <w:rPr>
          <w:sz w:val="16"/>
          <w:szCs w:val="16"/>
        </w:rPr>
        <w:t>, vol. 4, pp. 570–578, July 1993.</w:t>
      </w:r>
    </w:p>
    <w:p w:rsidR="00C2692F" w:rsidRDefault="00C2692F">
      <w:pPr>
        <w:numPr>
          <w:ilvl w:val="0"/>
          <w:numId w:val="19"/>
        </w:numPr>
        <w:rPr>
          <w:sz w:val="16"/>
          <w:szCs w:val="16"/>
        </w:rPr>
      </w:pPr>
      <w:r>
        <w:rPr>
          <w:sz w:val="16"/>
          <w:szCs w:val="16"/>
        </w:rPr>
        <w:t xml:space="preserve">R. W. Lucky, “Automatic equalization for digital communication,” </w:t>
      </w:r>
      <w:r>
        <w:rPr>
          <w:i/>
          <w:iCs/>
          <w:sz w:val="16"/>
          <w:szCs w:val="16"/>
        </w:rPr>
        <w:t>Bell Syst. Tech. J.</w:t>
      </w:r>
      <w:r>
        <w:rPr>
          <w:sz w:val="16"/>
          <w:szCs w:val="16"/>
        </w:rPr>
        <w:t>, vol. 44, no. 4, pp. 547–588, Apr. 1965.</w:t>
      </w:r>
    </w:p>
    <w:p w:rsidR="00C2692F" w:rsidRDefault="00C2692F">
      <w:pPr>
        <w:numPr>
          <w:ilvl w:val="0"/>
          <w:numId w:val="19"/>
        </w:numPr>
        <w:rPr>
          <w:sz w:val="16"/>
          <w:szCs w:val="16"/>
        </w:rPr>
      </w:pPr>
      <w:r>
        <w:rPr>
          <w:sz w:val="16"/>
          <w:szCs w:val="16"/>
        </w:rPr>
        <w:t xml:space="preserve">S. P. Bingulac, “On the compatibility of adaptive controllers (Published Conference Proceedings style),” in </w:t>
      </w:r>
      <w:r>
        <w:rPr>
          <w:i/>
          <w:iCs/>
          <w:sz w:val="16"/>
          <w:szCs w:val="16"/>
        </w:rPr>
        <w:t>Proc. 4th Annu. Allerton Conf. Circuits and Systems Theory</w:t>
      </w:r>
      <w:r>
        <w:rPr>
          <w:sz w:val="16"/>
          <w:szCs w:val="16"/>
        </w:rPr>
        <w:t>, New York, 1994, pp. 8–16.</w:t>
      </w:r>
    </w:p>
    <w:p w:rsidR="00C2692F" w:rsidRDefault="00C2692F">
      <w:pPr>
        <w:numPr>
          <w:ilvl w:val="0"/>
          <w:numId w:val="19"/>
        </w:numPr>
        <w:rPr>
          <w:sz w:val="16"/>
          <w:szCs w:val="16"/>
        </w:rPr>
      </w:pPr>
      <w:r>
        <w:rPr>
          <w:sz w:val="16"/>
          <w:szCs w:val="16"/>
        </w:rPr>
        <w:t xml:space="preserve">G. R. Faulhaber, “Design of service systems with priority reservation,” in </w:t>
      </w:r>
      <w:r>
        <w:rPr>
          <w:i/>
          <w:iCs/>
          <w:sz w:val="16"/>
          <w:szCs w:val="16"/>
        </w:rPr>
        <w:t>Conf. Rec. 1995 IEEE Int. Conf. Communications,</w:t>
      </w:r>
      <w:r>
        <w:rPr>
          <w:sz w:val="16"/>
          <w:szCs w:val="16"/>
        </w:rPr>
        <w:t xml:space="preserve"> pp. 3–8.</w:t>
      </w:r>
    </w:p>
    <w:p w:rsidR="00C2692F" w:rsidRPr="00EB1678" w:rsidRDefault="00C2692F">
      <w:pPr>
        <w:numPr>
          <w:ilvl w:val="0"/>
          <w:numId w:val="19"/>
        </w:numPr>
        <w:rPr>
          <w:sz w:val="16"/>
          <w:szCs w:val="16"/>
        </w:rPr>
      </w:pPr>
      <w:r>
        <w:rPr>
          <w:sz w:val="16"/>
          <w:szCs w:val="16"/>
        </w:rPr>
        <w:t xml:space="preserve">W. </w:t>
      </w:r>
      <w:r w:rsidRPr="00EB1678">
        <w:rPr>
          <w:sz w:val="16"/>
          <w:szCs w:val="16"/>
        </w:rPr>
        <w:t xml:space="preserve">D. Doyle, “Magnetization reversal in films with biaxial anisotropy,” in </w:t>
      </w:r>
      <w:r w:rsidRPr="00EB1678">
        <w:rPr>
          <w:i/>
          <w:iCs/>
          <w:sz w:val="16"/>
          <w:szCs w:val="16"/>
        </w:rPr>
        <w:t>1987 Proc. INTERMAG Conf.</w:t>
      </w:r>
      <w:r w:rsidRPr="00EB1678">
        <w:rPr>
          <w:sz w:val="16"/>
          <w:szCs w:val="16"/>
        </w:rPr>
        <w:t>, pp. 2.2-1–2.2-6.</w:t>
      </w:r>
    </w:p>
    <w:p w:rsidR="00C2692F" w:rsidRPr="00EB1678" w:rsidRDefault="00C2692F">
      <w:pPr>
        <w:numPr>
          <w:ilvl w:val="0"/>
          <w:numId w:val="19"/>
        </w:numPr>
        <w:rPr>
          <w:sz w:val="16"/>
          <w:szCs w:val="16"/>
        </w:rPr>
      </w:pPr>
      <w:r w:rsidRPr="00EB1678">
        <w:rPr>
          <w:sz w:val="16"/>
          <w:szCs w:val="16"/>
        </w:rPr>
        <w:t>G. W. Juette and L. E. Zeffanella, “Radio noise currents n short sections on bundle conductors (Presented Conference Paper style),” presented at the IEEE Summer power Meeting, Dallas, TX, June 22–27, 1990, Paper 90 SM 690-0 PWRS.</w:t>
      </w:r>
    </w:p>
    <w:p w:rsidR="00C2692F" w:rsidRDefault="00C2692F">
      <w:pPr>
        <w:pStyle w:val="References"/>
        <w:numPr>
          <w:ilvl w:val="0"/>
          <w:numId w:val="19"/>
        </w:numPr>
      </w:pPr>
      <w:r w:rsidRPr="00EB1678">
        <w:t>J. G.</w:t>
      </w:r>
      <w:r>
        <w:t xml:space="preserve"> Kreifeldt, “An analysis of surface-detected EMG as an amplitude-modulated noise,” presented at the 1989 Int. Conf. Medicine and Biological Engineering, Chicago, IL.</w:t>
      </w:r>
    </w:p>
    <w:p w:rsidR="00C2692F" w:rsidRDefault="00C2692F">
      <w:pPr>
        <w:pStyle w:val="References"/>
        <w:numPr>
          <w:ilvl w:val="0"/>
          <w:numId w:val="19"/>
        </w:numPr>
      </w:pPr>
      <w:r>
        <w:t xml:space="preserve">J. Williams, “Narrow-band analyzer (Thesis or Dissertation style),” Ph.D. dissertation, Dept. Elect. Eng., Harvard Univ., Cambridge, MA, 1993. </w:t>
      </w:r>
    </w:p>
    <w:p w:rsidR="00C2692F" w:rsidRDefault="00C2692F">
      <w:pPr>
        <w:pStyle w:val="References"/>
        <w:numPr>
          <w:ilvl w:val="0"/>
          <w:numId w:val="19"/>
        </w:numPr>
      </w:pPr>
      <w:r>
        <w:t>N. Kawasaki, “Parametric study of thermal and chemical nonequilibrium nozzle flow,” M.S. thesis, Dept. Electron. Eng., Osaka Univ., Osaka, Japan, 1993.</w:t>
      </w:r>
    </w:p>
    <w:p w:rsidR="00C2692F" w:rsidRDefault="00C2692F">
      <w:pPr>
        <w:pStyle w:val="References"/>
        <w:numPr>
          <w:ilvl w:val="0"/>
          <w:numId w:val="19"/>
        </w:numPr>
      </w:pPr>
      <w:r>
        <w:t xml:space="preserve">J. P. Wilkinson, “Nonlinear resonant circuit devices (Patent style),” U.S. Patent 3 624 12, July 16, 1990. </w:t>
      </w:r>
    </w:p>
    <w:p w:rsidR="00C2692F" w:rsidRPr="007A28F1" w:rsidRDefault="00C2692F" w:rsidP="00C2692F">
      <w:pPr>
        <w:pStyle w:val="References"/>
        <w:numPr>
          <w:ilvl w:val="0"/>
          <w:numId w:val="0"/>
        </w:numPr>
      </w:pPr>
    </w:p>
    <w:sectPr w:rsidR="00C2692F" w:rsidRPr="007A28F1" w:rsidSect="00724856">
      <w:headerReference w:type="default" r:id="rId7"/>
      <w:pgSz w:w="11907" w:h="16839" w:code="9"/>
      <w:pgMar w:top="1077" w:right="748" w:bottom="2081" w:left="1077" w:header="431" w:footer="431" w:gutter="0"/>
      <w:cols w:num="2" w:space="28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C9A" w:rsidRDefault="006A0C9A">
      <w:r>
        <w:separator/>
      </w:r>
    </w:p>
  </w:endnote>
  <w:endnote w:type="continuationSeparator" w:id="0">
    <w:p w:rsidR="006A0C9A" w:rsidRDefault="006A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C9A" w:rsidRDefault="006A0C9A"/>
  </w:footnote>
  <w:footnote w:type="continuationSeparator" w:id="0">
    <w:p w:rsidR="006A0C9A" w:rsidRDefault="006A0C9A">
      <w:r>
        <w:continuationSeparator/>
      </w:r>
    </w:p>
  </w:footnote>
  <w:footnote w:id="1">
    <w:p w:rsidR="00C2692F" w:rsidRDefault="00C2692F">
      <w:pPr>
        <w:pStyle w:val="Textonotapie"/>
      </w:pPr>
      <w:r>
        <w:t>*Res</w:t>
      </w:r>
      <w:r w:rsidR="00C1477D">
        <w:t>ea</w:t>
      </w:r>
      <w:r>
        <w:t>rch supported by ABC Foundation.</w:t>
      </w:r>
    </w:p>
    <w:p w:rsidR="00C2692F" w:rsidRDefault="00C2692F">
      <w:pPr>
        <w:pStyle w:val="Textonotapie"/>
      </w:pPr>
      <w:r>
        <w:t xml:space="preserve">F. A. Author is with the National Institute of Standards and Technology, Boulder, CO 80305 USA (corresponding author to provide phone: 303-555-5555; fax: 303-555-5555; e-mail: author@ boulder.nist.gov). </w:t>
      </w:r>
    </w:p>
    <w:p w:rsidR="00C2692F" w:rsidRDefault="00C2692F">
      <w:pPr>
        <w:pStyle w:val="Textonotapie"/>
      </w:pPr>
      <w:r>
        <w:t>S. B. Author, Jr., was with Rice University, Houston, TX 77005 USA. He is now with the Department of Physics, Colorado State University, Fort Collins, CO 80523 USA (e-mail: author@lamar. colostate.edu).</w:t>
      </w:r>
    </w:p>
    <w:p w:rsidR="00C2692F" w:rsidRDefault="00C2692F">
      <w:pPr>
        <w:pStyle w:val="Textonotapie"/>
      </w:pPr>
      <w:r>
        <w:t>T. C. Author is with the Electrical Engineering Department, University of Colorado, Boulder, CO 80309 USA, on leave from the National Research Institute for Metals, Tsukuba, Japan (e-mail: author@nrim.go.jp).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92F" w:rsidRDefault="00C2692F">
    <w:pPr>
      <w:framePr w:wrap="auto" w:vAnchor="text" w:hAnchor="margin" w:xAlign="right" w:y="1"/>
    </w:pPr>
  </w:p>
  <w:p w:rsidR="00C2692F" w:rsidRDefault="00C2692F" w:rsidP="00C2692F">
    <w:pP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E085744"/>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lvl>
    <w:lvl w:ilvl="2">
      <w:start w:val="1"/>
      <w:numFmt w:val="decimal"/>
      <w:pStyle w:val="Ttulo3"/>
      <w:lvlText w:val="%3)"/>
      <w:legacy w:legacy="1" w:legacySpace="144" w:legacyIndent="144"/>
      <w:lvlJc w:val="left"/>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8"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9"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0"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1"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3"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4"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4"/>
  </w:num>
  <w:num w:numId="3">
    <w:abstractNumId w:val="4"/>
    <w:lvlOverride w:ilvl="0">
      <w:lvl w:ilvl="0">
        <w:start w:val="1"/>
        <w:numFmt w:val="decimal"/>
        <w:lvlText w:val="%1."/>
        <w:legacy w:legacy="1" w:legacySpace="0" w:legacyIndent="360"/>
        <w:lvlJc w:val="left"/>
        <w:pPr>
          <w:ind w:left="360" w:hanging="360"/>
        </w:pPr>
      </w:lvl>
    </w:lvlOverride>
  </w:num>
  <w:num w:numId="4">
    <w:abstractNumId w:val="4"/>
    <w:lvlOverride w:ilvl="0">
      <w:lvl w:ilvl="0">
        <w:start w:val="1"/>
        <w:numFmt w:val="decimal"/>
        <w:lvlText w:val="%1."/>
        <w:legacy w:legacy="1" w:legacySpace="0" w:legacyIndent="360"/>
        <w:lvlJc w:val="left"/>
        <w:pPr>
          <w:ind w:left="360" w:hanging="360"/>
        </w:pPr>
      </w:lvl>
    </w:lvlOverride>
  </w:num>
  <w:num w:numId="5">
    <w:abstractNumId w:val="4"/>
    <w:lvlOverride w:ilvl="0">
      <w:lvl w:ilvl="0">
        <w:start w:val="1"/>
        <w:numFmt w:val="decimal"/>
        <w:lvlText w:val="%1."/>
        <w:legacy w:legacy="1" w:legacySpace="0" w:legacyIndent="360"/>
        <w:lvlJc w:val="left"/>
        <w:pPr>
          <w:ind w:left="360" w:hanging="360"/>
        </w:pPr>
      </w:lvl>
    </w:lvlOverride>
  </w:num>
  <w:num w:numId="6">
    <w:abstractNumId w:val="8"/>
  </w:num>
  <w:num w:numId="7">
    <w:abstractNumId w:val="8"/>
    <w:lvlOverride w:ilvl="0">
      <w:lvl w:ilvl="0">
        <w:start w:val="1"/>
        <w:numFmt w:val="decimal"/>
        <w:lvlText w:val="%1."/>
        <w:legacy w:legacy="1" w:legacySpace="0" w:legacyIndent="360"/>
        <w:lvlJc w:val="left"/>
        <w:pPr>
          <w:ind w:left="360" w:hanging="360"/>
        </w:pPr>
      </w:lvl>
    </w:lvlOverride>
  </w:num>
  <w:num w:numId="8">
    <w:abstractNumId w:val="8"/>
    <w:lvlOverride w:ilvl="0">
      <w:lvl w:ilvl="0">
        <w:start w:val="1"/>
        <w:numFmt w:val="decimal"/>
        <w:lvlText w:val="%1."/>
        <w:legacy w:legacy="1" w:legacySpace="0" w:legacyIndent="360"/>
        <w:lvlJc w:val="left"/>
        <w:pPr>
          <w:ind w:left="360" w:hanging="360"/>
        </w:pPr>
      </w:lvl>
    </w:lvlOverride>
  </w:num>
  <w:num w:numId="9">
    <w:abstractNumId w:val="8"/>
    <w:lvlOverride w:ilvl="0">
      <w:lvl w:ilvl="0">
        <w:start w:val="1"/>
        <w:numFmt w:val="decimal"/>
        <w:lvlText w:val="%1."/>
        <w:legacy w:legacy="1" w:legacySpace="0" w:legacyIndent="360"/>
        <w:lvlJc w:val="left"/>
        <w:pPr>
          <w:ind w:left="360" w:hanging="360"/>
        </w:pPr>
      </w:lvl>
    </w:lvlOverride>
  </w:num>
  <w:num w:numId="10">
    <w:abstractNumId w:val="8"/>
    <w:lvlOverride w:ilvl="0">
      <w:lvl w:ilvl="0">
        <w:start w:val="1"/>
        <w:numFmt w:val="decimal"/>
        <w:lvlText w:val="%1."/>
        <w:legacy w:legacy="1" w:legacySpace="0" w:legacyIndent="360"/>
        <w:lvlJc w:val="left"/>
        <w:pPr>
          <w:ind w:left="360" w:hanging="360"/>
        </w:pPr>
      </w:lvl>
    </w:lvlOverride>
  </w:num>
  <w:num w:numId="11">
    <w:abstractNumId w:val="8"/>
    <w:lvlOverride w:ilvl="0">
      <w:lvl w:ilvl="0">
        <w:start w:val="1"/>
        <w:numFmt w:val="decimal"/>
        <w:lvlText w:val="%1."/>
        <w:legacy w:legacy="1" w:legacySpace="0" w:legacyIndent="360"/>
        <w:lvlJc w:val="left"/>
        <w:pPr>
          <w:ind w:left="360" w:hanging="360"/>
        </w:pPr>
      </w:lvl>
    </w:lvlOverride>
  </w:num>
  <w:num w:numId="12">
    <w:abstractNumId w:val="6"/>
  </w:num>
  <w:num w:numId="13">
    <w:abstractNumId w:val="1"/>
  </w:num>
  <w:num w:numId="14">
    <w:abstractNumId w:val="10"/>
  </w:num>
  <w:num w:numId="15">
    <w:abstractNumId w:val="9"/>
  </w:num>
  <w:num w:numId="16">
    <w:abstractNumId w:val="14"/>
  </w:num>
  <w:num w:numId="17">
    <w:abstractNumId w:val="3"/>
  </w:num>
  <w:num w:numId="18">
    <w:abstractNumId w:val="2"/>
  </w:num>
  <w:num w:numId="19">
    <w:abstractNumId w:val="13"/>
  </w:num>
  <w:num w:numId="20">
    <w:abstractNumId w:val="7"/>
  </w:num>
  <w:num w:numId="21">
    <w:abstractNumId w:val="5"/>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4A0"/>
    <w:rsid w:val="00004AC2"/>
    <w:rsid w:val="000D013F"/>
    <w:rsid w:val="000E5D3D"/>
    <w:rsid w:val="00167266"/>
    <w:rsid w:val="001C6BD9"/>
    <w:rsid w:val="001D2144"/>
    <w:rsid w:val="002D24A0"/>
    <w:rsid w:val="003779D0"/>
    <w:rsid w:val="00386751"/>
    <w:rsid w:val="003C07B3"/>
    <w:rsid w:val="005E22A2"/>
    <w:rsid w:val="005E28B0"/>
    <w:rsid w:val="00601427"/>
    <w:rsid w:val="006229AE"/>
    <w:rsid w:val="006A0C9A"/>
    <w:rsid w:val="006A1A82"/>
    <w:rsid w:val="006B1568"/>
    <w:rsid w:val="006B2C13"/>
    <w:rsid w:val="00724856"/>
    <w:rsid w:val="007360EE"/>
    <w:rsid w:val="00764BB7"/>
    <w:rsid w:val="007D27DF"/>
    <w:rsid w:val="007E0FD4"/>
    <w:rsid w:val="008112E9"/>
    <w:rsid w:val="00834842"/>
    <w:rsid w:val="008536BA"/>
    <w:rsid w:val="008D331F"/>
    <w:rsid w:val="009442C9"/>
    <w:rsid w:val="0095233C"/>
    <w:rsid w:val="009C79A7"/>
    <w:rsid w:val="00A266B1"/>
    <w:rsid w:val="00AD764D"/>
    <w:rsid w:val="00B10564"/>
    <w:rsid w:val="00B74EBE"/>
    <w:rsid w:val="00C1477D"/>
    <w:rsid w:val="00C2692F"/>
    <w:rsid w:val="00C63EFA"/>
    <w:rsid w:val="00C917AF"/>
    <w:rsid w:val="00C9760B"/>
    <w:rsid w:val="00D2091C"/>
    <w:rsid w:val="00D5487D"/>
    <w:rsid w:val="00EB1678"/>
    <w:rsid w:val="00EC6A5A"/>
    <w:rsid w:val="00ED4A49"/>
    <w:rsid w:val="00FD5EF2"/>
  </w:rsids>
  <m:mathPr>
    <m:mathFont m:val="Cambria Math"/>
    <m:brkBin m:val="before"/>
    <m:brkBinSub m:val="--"/>
    <m:smallFrac m:val="0"/>
    <m:dispDef m:val="0"/>
    <m:lMargin m:val="0"/>
    <m:rMargin m:val="0"/>
    <m:defJc m:val="centerGroup"/>
    <m:wrapRight/>
    <m:intLim m:val="subSup"/>
    <m:naryLim m:val="subSup"/>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9FA8DA7A-5F36-4495-8946-6E0F24FA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val="en-US" w:eastAsia="en-US"/>
    </w:rPr>
  </w:style>
  <w:style w:type="paragraph" w:styleId="Ttulo1">
    <w:name w:val="heading 1"/>
    <w:basedOn w:val="Normal"/>
    <w:next w:val="Normal"/>
    <w:qFormat/>
    <w:pPr>
      <w:keepNext/>
      <w:numPr>
        <w:numId w:val="1"/>
      </w:numPr>
      <w:spacing w:before="240" w:after="80"/>
      <w:jc w:val="center"/>
      <w:outlineLvl w:val="0"/>
    </w:pPr>
    <w:rPr>
      <w:smallCaps/>
      <w:kern w:val="28"/>
    </w:rPr>
  </w:style>
  <w:style w:type="paragraph" w:styleId="Ttulo2">
    <w:name w:val="heading 2"/>
    <w:basedOn w:val="Normal"/>
    <w:next w:val="Normal"/>
    <w:qFormat/>
    <w:pPr>
      <w:keepNext/>
      <w:numPr>
        <w:ilvl w:val="1"/>
        <w:numId w:val="1"/>
      </w:numPr>
      <w:spacing w:before="120" w:after="60"/>
      <w:ind w:left="144"/>
      <w:outlineLvl w:val="1"/>
    </w:pPr>
    <w:rPr>
      <w:i/>
      <w:iCs/>
    </w:rPr>
  </w:style>
  <w:style w:type="paragraph" w:styleId="Ttulo3">
    <w:name w:val="heading 3"/>
    <w:basedOn w:val="Normal"/>
    <w:next w:val="Normal"/>
    <w:qFormat/>
    <w:pPr>
      <w:keepNext/>
      <w:numPr>
        <w:ilvl w:val="2"/>
        <w:numId w:val="1"/>
      </w:numPr>
      <w:ind w:left="288"/>
      <w:outlineLvl w:val="2"/>
    </w:pPr>
    <w:rPr>
      <w:i/>
      <w:iCs/>
    </w:rPr>
  </w:style>
  <w:style w:type="paragraph" w:styleId="Ttulo4">
    <w:name w:val="heading 4"/>
    <w:basedOn w:val="Normal"/>
    <w:next w:val="Normal"/>
    <w:qFormat/>
    <w:pPr>
      <w:keepNext/>
      <w:numPr>
        <w:ilvl w:val="3"/>
        <w:numId w:val="1"/>
      </w:numPr>
      <w:spacing w:before="240" w:after="60"/>
      <w:outlineLvl w:val="3"/>
    </w:pPr>
    <w:rPr>
      <w:i/>
      <w:iCs/>
      <w:sz w:val="18"/>
      <w:szCs w:val="18"/>
    </w:rPr>
  </w:style>
  <w:style w:type="paragraph" w:styleId="Ttulo5">
    <w:name w:val="heading 5"/>
    <w:basedOn w:val="Normal"/>
    <w:next w:val="Normal"/>
    <w:qFormat/>
    <w:pPr>
      <w:numPr>
        <w:ilvl w:val="4"/>
        <w:numId w:val="1"/>
      </w:numPr>
      <w:spacing w:before="240" w:after="60"/>
      <w:outlineLvl w:val="4"/>
    </w:pPr>
    <w:rPr>
      <w:sz w:val="18"/>
      <w:szCs w:val="18"/>
    </w:rPr>
  </w:style>
  <w:style w:type="paragraph" w:styleId="Ttulo6">
    <w:name w:val="heading 6"/>
    <w:basedOn w:val="Normal"/>
    <w:next w:val="Normal"/>
    <w:qFormat/>
    <w:pPr>
      <w:numPr>
        <w:ilvl w:val="5"/>
        <w:numId w:val="1"/>
      </w:numPr>
      <w:spacing w:before="240" w:after="60"/>
      <w:outlineLvl w:val="5"/>
    </w:pPr>
    <w:rPr>
      <w:i/>
      <w:iCs/>
      <w:sz w:val="16"/>
      <w:szCs w:val="16"/>
    </w:rPr>
  </w:style>
  <w:style w:type="paragraph" w:styleId="Ttulo7">
    <w:name w:val="heading 7"/>
    <w:basedOn w:val="Normal"/>
    <w:next w:val="Normal"/>
    <w:qFormat/>
    <w:pPr>
      <w:numPr>
        <w:ilvl w:val="6"/>
        <w:numId w:val="1"/>
      </w:numPr>
      <w:spacing w:before="240" w:after="60"/>
      <w:outlineLvl w:val="6"/>
    </w:pPr>
    <w:rPr>
      <w:sz w:val="16"/>
      <w:szCs w:val="16"/>
    </w:rPr>
  </w:style>
  <w:style w:type="paragraph" w:styleId="Ttulo8">
    <w:name w:val="heading 8"/>
    <w:basedOn w:val="Normal"/>
    <w:next w:val="Normal"/>
    <w:qFormat/>
    <w:pPr>
      <w:numPr>
        <w:ilvl w:val="7"/>
        <w:numId w:val="1"/>
      </w:numPr>
      <w:spacing w:before="240" w:after="60"/>
      <w:outlineLvl w:val="7"/>
    </w:pPr>
    <w:rPr>
      <w:i/>
      <w:iCs/>
      <w:sz w:val="16"/>
      <w:szCs w:val="16"/>
    </w:rPr>
  </w:style>
  <w:style w:type="paragraph" w:styleId="Ttulo9">
    <w:name w:val="heading 9"/>
    <w:basedOn w:val="Normal"/>
    <w:next w:val="Normal"/>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Fuentedeprrafopredeter"/>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anchorLock="1"/>
      <w:spacing w:before="360"/>
      <w:jc w:val="center"/>
    </w:pPr>
    <w:rPr>
      <w:b/>
      <w:kern w:val="28"/>
      <w:sz w:val="32"/>
      <w:szCs w:val="48"/>
    </w:rPr>
  </w:style>
  <w:style w:type="paragraph" w:styleId="Textonotapie">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basedOn w:val="Fuentedeprrafopredeter"/>
    <w:semiHidden/>
    <w:rPr>
      <w:vertAlign w:val="superscript"/>
    </w:rPr>
  </w:style>
  <w:style w:type="paragraph" w:styleId="Piedepgina">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0">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4810"/>
      </w:tabs>
      <w:spacing w:line="252" w:lineRule="auto"/>
      <w:jc w:val="both"/>
    </w:pPr>
  </w:style>
  <w:style w:type="character" w:styleId="Hipervnculo">
    <w:name w:val="Hyperlink"/>
    <w:basedOn w:val="Fuentedeprrafopredeter"/>
    <w:rPr>
      <w:color w:val="0000FF"/>
      <w:u w:val="single"/>
    </w:rPr>
  </w:style>
  <w:style w:type="character" w:styleId="Hipervnculovisitado">
    <w:name w:val="FollowedHyperlink"/>
    <w:basedOn w:val="Fuentedeprrafopredeter"/>
    <w:rPr>
      <w:color w:val="800080"/>
      <w:u w:val="single"/>
    </w:rPr>
  </w:style>
  <w:style w:type="paragraph" w:styleId="Sangradetextonormal">
    <w:name w:val="Body Text Indent"/>
    <w:basedOn w:val="Normal"/>
    <w:pPr>
      <w:ind w:left="630" w:hanging="630"/>
    </w:pPr>
    <w:rPr>
      <w:szCs w:val="24"/>
    </w:rPr>
  </w:style>
  <w:style w:type="paragraph" w:customStyle="1" w:styleId="DefaultParagraphFont1">
    <w:name w:val="Default Paragraph Font1"/>
    <w:next w:val="Normal"/>
    <w:pPr>
      <w:overflowPunct w:val="0"/>
      <w:autoSpaceDE w:val="0"/>
      <w:autoSpaceDN w:val="0"/>
      <w:adjustRightInd w:val="0"/>
      <w:textAlignment w:val="baseline"/>
    </w:pPr>
    <w:rPr>
      <w:rFonts w:ascii="Times" w:eastAsia="PMingLiU" w:hAnsi="Times"/>
      <w:lang w:val="en-US" w:eastAsia="zh-TW"/>
    </w:rPr>
  </w:style>
  <w:style w:type="paragraph" w:customStyle="1" w:styleId="abs-title">
    <w:name w:val="abs-title"/>
    <w:basedOn w:val="DefaultParagraphFont1"/>
    <w:pPr>
      <w:ind w:firstLine="14"/>
      <w:jc w:val="both"/>
    </w:pPr>
    <w:rPr>
      <w:b/>
      <w:bCs/>
      <w:i/>
      <w:iCs/>
      <w:sz w:val="18"/>
    </w:rPr>
  </w:style>
  <w:style w:type="paragraph" w:customStyle="1" w:styleId="body-text">
    <w:name w:val="body-text"/>
    <w:pPr>
      <w:ind w:firstLine="230"/>
      <w:jc w:val="both"/>
    </w:pPr>
    <w:rPr>
      <w:rFonts w:ascii="Times" w:hAnsi="Times"/>
      <w:color w:val="000000"/>
      <w:lang w:val="en-US" w:eastAsia="en-US"/>
    </w:rPr>
  </w:style>
  <w:style w:type="paragraph" w:customStyle="1" w:styleId="table-figure-caption">
    <w:name w:val="table-figure-caption"/>
    <w:basedOn w:val="body-text"/>
    <w:pPr>
      <w:spacing w:before="60" w:after="120"/>
      <w:ind w:firstLine="0"/>
      <w:jc w:val="center"/>
    </w:pPr>
    <w:rPr>
      <w:sz w:val="18"/>
    </w:rPr>
  </w:style>
  <w:style w:type="paragraph" w:customStyle="1" w:styleId="footnote">
    <w:name w:val="footnote"/>
    <w:basedOn w:val="Textonotapie"/>
    <w:pPr>
      <w:overflowPunct w:val="0"/>
      <w:adjustRightInd w:val="0"/>
      <w:ind w:firstLine="346"/>
      <w:jc w:val="left"/>
      <w:textAlignment w:val="baseline"/>
    </w:pPr>
    <w:rPr>
      <w:rFonts w:ascii="Times" w:eastAsia="PMingLiU" w:hAnsi="Times"/>
      <w:szCs w:val="20"/>
      <w:lang w:val="en-AU" w:eastAsia="zh-TW"/>
    </w:rPr>
  </w:style>
  <w:style w:type="paragraph" w:customStyle="1" w:styleId="subsection-title">
    <w:name w:val="subsection-title"/>
    <w:basedOn w:val="Ttulo2"/>
    <w:pPr>
      <w:numPr>
        <w:ilvl w:val="0"/>
        <w:numId w:val="0"/>
      </w:numPr>
      <w:overflowPunct w:val="0"/>
      <w:adjustRightInd w:val="0"/>
      <w:spacing w:before="60"/>
      <w:ind w:firstLine="43"/>
      <w:textAlignment w:val="baseline"/>
    </w:pPr>
    <w:rPr>
      <w:rFonts w:ascii="Times" w:eastAsia="PMingLiU" w:hAnsi="Times"/>
      <w:b/>
      <w:bCs/>
      <w:szCs w:val="24"/>
      <w:lang w:eastAsia="zh-TW"/>
    </w:rPr>
  </w:style>
  <w:style w:type="paragraph" w:styleId="Textoindependiente">
    <w:name w:val="Body Text"/>
    <w:basedOn w:val="Normal"/>
    <w:link w:val="TextoindependienteCar"/>
    <w:rsid w:val="00B32A40"/>
    <w:pPr>
      <w:autoSpaceDE/>
      <w:autoSpaceDN/>
      <w:spacing w:after="120" w:line="228" w:lineRule="auto"/>
      <w:ind w:firstLine="288"/>
      <w:jc w:val="both"/>
    </w:pPr>
    <w:rPr>
      <w:rFonts w:eastAsia="SimSun"/>
      <w:spacing w:val="-1"/>
    </w:rPr>
  </w:style>
  <w:style w:type="character" w:customStyle="1" w:styleId="TextoindependienteCar">
    <w:name w:val="Texto independiente Car"/>
    <w:basedOn w:val="Fuentedeprrafopredeter"/>
    <w:link w:val="Textoindependiente"/>
    <w:rsid w:val="00B32A40"/>
    <w:rPr>
      <w:rFonts w:eastAsia="SimSun"/>
      <w:spacing w:val="-1"/>
    </w:rPr>
  </w:style>
  <w:style w:type="paragraph" w:customStyle="1" w:styleId="bulletlist">
    <w:name w:val="bullet list"/>
    <w:basedOn w:val="Textoindependiente"/>
    <w:rsid w:val="00B32A40"/>
    <w:pPr>
      <w:numPr>
        <w:numId w:val="21"/>
      </w:numPr>
    </w:pPr>
  </w:style>
  <w:style w:type="paragraph" w:customStyle="1" w:styleId="sponsors">
    <w:name w:val="sponsors"/>
    <w:rsid w:val="00B32A40"/>
    <w:pPr>
      <w:framePr w:wrap="auto" w:hAnchor="text" w:x="615" w:y="2239"/>
      <w:pBdr>
        <w:top w:val="single" w:sz="4" w:space="2" w:color="auto"/>
      </w:pBdr>
      <w:ind w:firstLine="288"/>
    </w:pPr>
    <w:rPr>
      <w:rFonts w:eastAsia="SimSun"/>
      <w:sz w:val="16"/>
      <w:szCs w:val="16"/>
      <w:lang w:val="en-US" w:eastAsia="en-US"/>
    </w:rPr>
  </w:style>
  <w:style w:type="paragraph" w:customStyle="1" w:styleId="papersubtitle">
    <w:name w:val="paper subtitle"/>
    <w:rsid w:val="007A28F1"/>
    <w:pPr>
      <w:spacing w:after="120"/>
      <w:jc w:val="center"/>
    </w:pPr>
    <w:rPr>
      <w:rFonts w:eastAsia="MS Mincho"/>
      <w:noProof/>
      <w:sz w:val="28"/>
      <w:szCs w:val="28"/>
      <w:lang w:val="en-US" w:eastAsia="en-US"/>
    </w:rPr>
  </w:style>
  <w:style w:type="paragraph" w:customStyle="1" w:styleId="equation0">
    <w:name w:val="equation"/>
    <w:basedOn w:val="Normal"/>
    <w:rsid w:val="007A28F1"/>
    <w:pPr>
      <w:tabs>
        <w:tab w:val="center" w:pos="2520"/>
        <w:tab w:val="right" w:pos="5040"/>
      </w:tabs>
      <w:autoSpaceDE/>
      <w:autoSpaceDN/>
      <w:spacing w:before="240" w:after="240" w:line="216" w:lineRule="auto"/>
      <w:jc w:val="center"/>
    </w:pPr>
    <w:rPr>
      <w:rFonts w:ascii="Symbol" w:eastAsia="SimSun" w:hAnsi="Symbol" w:cs="Symbol"/>
    </w:rPr>
  </w:style>
  <w:style w:type="paragraph" w:customStyle="1" w:styleId="figurecaption">
    <w:name w:val="figure caption"/>
    <w:rsid w:val="007A28F1"/>
    <w:pPr>
      <w:numPr>
        <w:numId w:val="22"/>
      </w:numPr>
      <w:spacing w:before="80" w:after="200"/>
      <w:jc w:val="center"/>
    </w:pPr>
    <w:rPr>
      <w:rFonts w:eastAsia="SimSun"/>
      <w:noProof/>
      <w:sz w:val="16"/>
      <w:szCs w:val="16"/>
      <w:lang w:val="en-US" w:eastAsia="en-US"/>
    </w:rPr>
  </w:style>
  <w:style w:type="paragraph" w:customStyle="1" w:styleId="tablecolhead">
    <w:name w:val="table col head"/>
    <w:basedOn w:val="Normal"/>
    <w:rsid w:val="007A28F1"/>
    <w:pPr>
      <w:autoSpaceDE/>
      <w:autoSpaceDN/>
      <w:jc w:val="center"/>
    </w:pPr>
    <w:rPr>
      <w:rFonts w:eastAsia="SimSun"/>
      <w:b/>
      <w:bCs/>
      <w:sz w:val="16"/>
      <w:szCs w:val="16"/>
    </w:rPr>
  </w:style>
  <w:style w:type="paragraph" w:customStyle="1" w:styleId="tablecolsubhead">
    <w:name w:val="table col subhead"/>
    <w:basedOn w:val="tablecolhead"/>
    <w:rsid w:val="007A28F1"/>
    <w:rPr>
      <w:i/>
      <w:iCs/>
      <w:sz w:val="15"/>
      <w:szCs w:val="15"/>
    </w:rPr>
  </w:style>
  <w:style w:type="paragraph" w:customStyle="1" w:styleId="tablecopy">
    <w:name w:val="table copy"/>
    <w:rsid w:val="007A28F1"/>
    <w:pPr>
      <w:jc w:val="both"/>
    </w:pPr>
    <w:rPr>
      <w:rFonts w:eastAsia="SimSun"/>
      <w:noProof/>
      <w:sz w:val="16"/>
      <w:szCs w:val="16"/>
      <w:lang w:val="en-US" w:eastAsia="en-US"/>
    </w:rPr>
  </w:style>
  <w:style w:type="paragraph" w:customStyle="1" w:styleId="tablefootnote">
    <w:name w:val="table footnote"/>
    <w:rsid w:val="007A28F1"/>
    <w:pPr>
      <w:spacing w:before="60" w:after="30"/>
      <w:jc w:val="right"/>
    </w:pPr>
    <w:rPr>
      <w:rFonts w:eastAsia="SimSun"/>
      <w:sz w:val="12"/>
      <w:szCs w:val="12"/>
      <w:lang w:val="en-US" w:eastAsia="en-US"/>
    </w:rPr>
  </w:style>
  <w:style w:type="paragraph" w:customStyle="1" w:styleId="tablehead">
    <w:name w:val="table head"/>
    <w:rsid w:val="007A28F1"/>
    <w:pPr>
      <w:numPr>
        <w:numId w:val="23"/>
      </w:numPr>
      <w:spacing w:before="240" w:after="120" w:line="216" w:lineRule="auto"/>
      <w:jc w:val="center"/>
    </w:pPr>
    <w:rPr>
      <w:rFonts w:eastAsia="SimSun"/>
      <w:smallCaps/>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Documents\______Pendrive%20ORDENAR\_IEEE%20Publicaci&#243;n\IEEE%20MSC2016\ieeeconf_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ieeeconf_A4.dot</Template>
  <TotalTime>119</TotalTime>
  <Pages>4</Pages>
  <Words>2758</Words>
  <Characters>14382</Characters>
  <Application>Microsoft Office Word</Application>
  <DocSecurity>0</DocSecurity>
  <Lines>119</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17106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Julian, Gabriel Luis (IMPSA WND, MZA)</dc:creator>
  <cp:lastModifiedBy>Gabriel Julián</cp:lastModifiedBy>
  <cp:revision>51</cp:revision>
  <cp:lastPrinted>2012-01-31T03:17:00Z</cp:lastPrinted>
  <dcterms:created xsi:type="dcterms:W3CDTF">2016-01-25T19:32:00Z</dcterms:created>
  <dcterms:modified xsi:type="dcterms:W3CDTF">2019-11-21T05:02:00Z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