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390" w:lineRule="auto"/>
        <w:rPr>
          <w:rFonts w:ascii="Helvetica Neue" w:cs="Helvetica Neue" w:eastAsia="Helvetica Neue" w:hAnsi="Helvetica Neue"/>
          <w:color w:val="1a365d"/>
        </w:rPr>
      </w:pPr>
      <w:r w:rsidDel="00000000" w:rsidR="00000000" w:rsidRPr="00000000">
        <w:rPr>
          <w:rFonts w:ascii="Helvetica Neue" w:cs="Helvetica Neue" w:eastAsia="Helvetica Neue" w:hAnsi="Helvetica Neue"/>
          <w:color w:val="1a365d"/>
          <w:rtl w:val="0"/>
        </w:rPr>
        <w:t xml:space="preserve">Evaluación de Riesgos Geológicos (Pg)</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375" w:line="3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rPr>
          <w:rFonts w:ascii="Helvetica Neue" w:cs="Helvetica Neue" w:eastAsia="Helvetica Neue" w:hAnsi="Helvetica Neue"/>
          <w:color w:val="2b6cb0"/>
        </w:rPr>
      </w:pPr>
      <w:r w:rsidDel="00000000" w:rsidR="00000000" w:rsidRPr="00000000">
        <w:rPr>
          <w:rFonts w:ascii="Helvetica Neue" w:cs="Helvetica Neue" w:eastAsia="Helvetica Neue" w:hAnsi="Helvetica Neue"/>
          <w:color w:val="2b6cb0"/>
          <w:rtl w:val="0"/>
        </w:rPr>
        <w:t xml:space="preserve">1. Factores de la Roca Madre (Source Factors)</w:t>
      </w:r>
    </w:p>
    <w:tbl>
      <w:tblPr>
        <w:tblStyle w:val="Table1"/>
        <w:tblW w:w="9360.0" w:type="dxa"/>
        <w:jc w:val="left"/>
        <w:tblBorders>
          <w:top w:color="cbd5e0" w:space="0" w:sz="6" w:val="single"/>
          <w:left w:color="cbd5e0" w:space="0" w:sz="6" w:val="single"/>
          <w:bottom w:color="cbd5e0" w:space="0" w:sz="6" w:val="single"/>
          <w:right w:color="cbd5e0" w:space="0" w:sz="6" w:val="single"/>
          <w:insideH w:color="cbd5e0" w:space="0" w:sz="6" w:val="single"/>
          <w:insideV w:color="cbd5e0" w:space="0" w:sz="6" w:val="single"/>
        </w:tblBorders>
        <w:tblLayout w:type="fixed"/>
        <w:tblLook w:val="0600"/>
      </w:tblPr>
      <w:tblGrid>
        <w:gridCol w:w="2340"/>
        <w:gridCol w:w="5148"/>
        <w:gridCol w:w="1872"/>
        <w:tblGridChange w:id="0">
          <w:tblGrid>
            <w:gridCol w:w="2340"/>
            <w:gridCol w:w="5148"/>
            <w:gridCol w:w="1872"/>
          </w:tblGrid>
        </w:tblGridChange>
      </w:tblGrid>
      <w:tr>
        <w:trPr>
          <w:cantSplit w:val="0"/>
          <w:tblHeader w:val="1"/>
        </w:trPr>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Factor</w:t>
            </w:r>
          </w:p>
        </w:tc>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Definición / Criterio Técnico</w:t>
            </w:r>
          </w:p>
        </w:tc>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Valor / Anotaciones</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Cantidad / Volumen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718096"/>
                <w:sz w:val="16"/>
                <w:szCs w:val="16"/>
              </w:rPr>
            </w:pPr>
            <w:r w:rsidDel="00000000" w:rsidR="00000000" w:rsidRPr="00000000">
              <w:rPr>
                <w:rFonts w:ascii="Helvetica Neue" w:cs="Helvetica Neue" w:eastAsia="Helvetica Neue" w:hAnsi="Helvetica Neue"/>
                <w:b w:val="1"/>
                <w:bCs w:val="1"/>
                <w:color w:val="718096"/>
                <w:sz w:val="16"/>
                <w:szCs w:val="16"/>
                <w:rtl w:val="0"/>
              </w:rPr>
              <w:t xml:space="preserve">(Quantity / Volume)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Dado que existe una Roca Madre: confianza en que hay un volumen mínimo de Roca Madre en la "cocina" (kitchen) para proporcionar una carga de hidrocarburos suficiente para llenar el cierre al menos hasta el caso P99 (llenado mínimo).</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rPr>
            </w:pPr>
            <w:r w:rsidDel="00000000" w:rsidR="00000000" w:rsidRPr="00000000">
              <w:rPr>
                <w:rtl w:val="0"/>
              </w:rPr>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Calidad / Riqueza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718096"/>
                <w:sz w:val="16"/>
                <w:szCs w:val="16"/>
              </w:rPr>
            </w:pPr>
            <w:r w:rsidDel="00000000" w:rsidR="00000000" w:rsidRPr="00000000">
              <w:rPr>
                <w:rFonts w:ascii="Helvetica Neue" w:cs="Helvetica Neue" w:eastAsia="Helvetica Neue" w:hAnsi="Helvetica Neue"/>
                <w:b w:val="1"/>
                <w:bCs w:val="1"/>
                <w:color w:val="718096"/>
                <w:sz w:val="16"/>
                <w:szCs w:val="16"/>
                <w:rtl w:val="0"/>
              </w:rPr>
              <w:t xml:space="preserve">(Quality / Richness)</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Dado que existe una Roca Madre: confianza en que hay al menos un contenido orgánico mínimo dentro de la Roca Madre para proporcionar una riqueza de fuente adecuada.</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Maduración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e53e3e"/>
                <w:sz w:val="16"/>
                <w:szCs w:val="16"/>
              </w:rPr>
            </w:pPr>
            <w:r w:rsidDel="00000000" w:rsidR="00000000" w:rsidRPr="00000000">
              <w:rPr>
                <w:rFonts w:ascii="Helvetica Neue" w:cs="Helvetica Neue" w:eastAsia="Helvetica Neue" w:hAnsi="Helvetica Neue"/>
                <w:b w:val="1"/>
                <w:bCs w:val="1"/>
                <w:color w:val="e53e3e"/>
                <w:sz w:val="16"/>
                <w:szCs w:val="16"/>
                <w:rtl w:val="0"/>
              </w:rPr>
              <w:t xml:space="preserve">(FACTOR CLAVE)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Dado que la Roca Madre existe: confianza en que ha alcanzado la madurez térmica suficiente para generar hidrocarburos móviles. La probabilidad de gas versus petróleo se considera generalmente un problema económico o comercial en áreas sin mercado de gas. En tales casos, la probabilidad de que el gas sea la fase dominante de hidrocarburos debe abordarse en el modelo económico de flujo de caja.</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color w:val="4a5568"/>
                <w:sz w:val="16"/>
                <w:szCs w:val="16"/>
              </w:rPr>
            </w:pPr>
            <w:r w:rsidDel="00000000" w:rsidR="00000000" w:rsidRPr="00000000">
              <w:rPr>
                <w:rFonts w:ascii="Helvetica Neue" w:cs="Helvetica Neue" w:eastAsia="Helvetica Neue" w:hAnsi="Helvetica Neue"/>
                <w:color w:val="4a5568"/>
                <w:sz w:val="16"/>
                <w:szCs w:val="16"/>
                <w:rtl w:val="0"/>
              </w:rPr>
              <w:t xml:space="preserve">Nota: No hay duda de la roca madre en ventana de petróleo.</w:t>
            </w:r>
          </w:p>
        </w:tc>
      </w:tr>
    </w:tbl>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spacing w:before="225" w:lineRule="auto"/>
        <w:rPr>
          <w:rFonts w:ascii="Helvetica Neue" w:cs="Helvetica Neue" w:eastAsia="Helvetica Neue" w:hAnsi="Helvetica Neue"/>
          <w:color w:val="4a5568"/>
        </w:rPr>
      </w:pPr>
      <w:r w:rsidDel="00000000" w:rsidR="00000000" w:rsidRPr="00000000">
        <w:rPr>
          <w:rtl w:val="0"/>
        </w:rPr>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before="225" w:lineRule="auto"/>
        <w:rPr>
          <w:rFonts w:ascii="Helvetica Neue" w:cs="Helvetica Neue" w:eastAsia="Helvetica Neue" w:hAnsi="Helvetica Neue"/>
          <w:color w:val="4a5568"/>
        </w:rPr>
      </w:pPr>
      <w:r w:rsidDel="00000000" w:rsidR="00000000" w:rsidRPr="00000000">
        <w:rPr>
          <w:rtl w:val="0"/>
        </w:rPr>
      </w:r>
    </w:p>
    <w:p w:rsidR="00000000" w:rsidDel="00000000" w:rsidP="00000000" w:rsidRDefault="00000000" w:rsidRPr="00000000" w14:paraId="00000016">
      <w:pPr>
        <w:pStyle w:val="Heading3"/>
        <w:pBdr>
          <w:top w:space="0" w:sz="0" w:val="nil"/>
          <w:left w:space="0" w:sz="0" w:val="nil"/>
          <w:bottom w:space="0" w:sz="0" w:val="nil"/>
          <w:right w:space="0" w:sz="0" w:val="nil"/>
          <w:between w:space="0" w:sz="0" w:val="nil"/>
        </w:pBdr>
        <w:shd w:fill="auto" w:val="clear"/>
        <w:spacing w:before="225" w:lineRule="auto"/>
        <w:rPr>
          <w:rFonts w:ascii="Helvetica Neue" w:cs="Helvetica Neue" w:eastAsia="Helvetica Neue" w:hAnsi="Helvetica Neue"/>
          <w:color w:val="4a5568"/>
        </w:rPr>
      </w:pPr>
      <w:r w:rsidDel="00000000" w:rsidR="00000000" w:rsidRPr="00000000">
        <w:rPr>
          <w:rtl w:val="0"/>
        </w:rPr>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before="225" w:lineRule="auto"/>
        <w:rPr>
          <w:rFonts w:ascii="Helvetica Neue" w:cs="Helvetica Neue" w:eastAsia="Helvetica Neue" w:hAnsi="Helvetica Neue"/>
          <w:color w:val="4a5568"/>
        </w:rPr>
      </w:pPr>
      <w:r w:rsidDel="00000000" w:rsidR="00000000" w:rsidRPr="00000000">
        <w:rPr>
          <w:rtl w:val="0"/>
        </w:rPr>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before="225" w:lineRule="auto"/>
        <w:rPr>
          <w:rFonts w:ascii="Helvetica Neue" w:cs="Helvetica Neue" w:eastAsia="Helvetica Neue" w:hAnsi="Helvetica Neue"/>
          <w:color w:val="4a5568"/>
        </w:rPr>
      </w:pPr>
      <w:r w:rsidDel="00000000" w:rsidR="00000000" w:rsidRPr="00000000">
        <w:rPr>
          <w:rtl w:val="0"/>
        </w:rPr>
      </w:r>
    </w:p>
    <w:p w:rsidR="00000000" w:rsidDel="00000000" w:rsidP="00000000" w:rsidRDefault="00000000" w:rsidRPr="00000000" w14:paraId="00000019">
      <w:pPr>
        <w:pStyle w:val="Heading3"/>
        <w:pBdr>
          <w:top w:space="0" w:sz="0" w:val="nil"/>
          <w:left w:space="0" w:sz="0" w:val="nil"/>
          <w:bottom w:space="0" w:sz="0" w:val="nil"/>
          <w:right w:space="0" w:sz="0" w:val="nil"/>
          <w:between w:space="0" w:sz="0" w:val="nil"/>
        </w:pBdr>
        <w:shd w:fill="auto" w:val="clear"/>
        <w:spacing w:before="225" w:lineRule="auto"/>
        <w:rPr>
          <w:rFonts w:ascii="Helvetica Neue" w:cs="Helvetica Neue" w:eastAsia="Helvetica Neue" w:hAnsi="Helvetica Neue"/>
          <w:color w:val="4a5568"/>
        </w:rPr>
      </w:pPr>
      <w:r w:rsidDel="00000000" w:rsidR="00000000" w:rsidRPr="00000000">
        <w:rPr>
          <w:rFonts w:ascii="Helvetica Neue" w:cs="Helvetica Neue" w:eastAsia="Helvetica Neue" w:hAnsi="Helvetica Neue"/>
          <w:color w:val="4a5568"/>
          <w:rtl w:val="0"/>
        </w:rPr>
        <w:t xml:space="preserve">Escalas de Evaluación de Calidad y Riqueza Orgánica</w:t>
      </w:r>
    </w:p>
    <w:tbl>
      <w:tblPr>
        <w:tblStyle w:val="Table2"/>
        <w:tblW w:w="9360.0" w:type="dxa"/>
        <w:jc w:val="left"/>
        <w:tblBorders>
          <w:top w:color="cbd5e0" w:space="0" w:sz="6" w:val="single"/>
          <w:left w:color="cbd5e0" w:space="0" w:sz="6" w:val="single"/>
          <w:bottom w:color="cbd5e0" w:space="0" w:sz="6" w:val="single"/>
          <w:right w:color="cbd5e0" w:space="0" w:sz="6" w:val="single"/>
          <w:insideH w:color="cbd5e0" w:space="0" w:sz="6" w:val="single"/>
          <w:insideV w:color="cbd5e0" w:space="0" w:sz="6"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cbd5e0" w:space="0" w:sz="6" w:val="single"/>
              <w:left w:color="cbd5e0" w:space="0" w:sz="6" w:val="single"/>
              <w:bottom w:color="cbd5e0" w:space="0" w:sz="6" w:val="single"/>
              <w:right w:color="cbd5e0" w:space="0" w:sz="6" w:val="single"/>
            </w:tcBorders>
            <w:shd w:fill="f7fafc" w:val="clear"/>
            <w:tcMar>
              <w:top w:w="150.0" w:type="dxa"/>
              <w:left w:w="150.0" w:type="dxa"/>
              <w:bottom w:w="150.0" w:type="dxa"/>
              <w:right w:w="15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shd w:fill="auto" w:val="clear"/>
              </w:rPr>
            </w:pPr>
            <w:r w:rsidDel="00000000" w:rsidR="00000000" w:rsidRPr="00000000">
              <w:rPr>
                <w:rFonts w:ascii="Helvetica Neue" w:cs="Helvetica Neue" w:eastAsia="Helvetica Neue" w:hAnsi="Helvetica Neue"/>
                <w:b w:val="1"/>
                <w:bCs w:val="1"/>
                <w:shd w:fill="auto" w:val="clear"/>
                <w:rtl w:val="0"/>
              </w:rPr>
              <w:t xml:space="preserve">Métrica de Evaluación</w:t>
            </w:r>
          </w:p>
        </w:tc>
        <w:tc>
          <w:tcPr>
            <w:tcBorders>
              <w:top w:color="cbd5e0" w:space="0" w:sz="6" w:val="single"/>
              <w:left w:color="cbd5e0" w:space="0" w:sz="6" w:val="single"/>
              <w:bottom w:color="cbd5e0" w:space="0" w:sz="6" w:val="single"/>
              <w:right w:color="cbd5e0" w:space="0" w:sz="6" w:val="single"/>
            </w:tcBorders>
            <w:shd w:fill="f7fafc" w:val="clear"/>
            <w:tcMar>
              <w:top w:w="150.0" w:type="dxa"/>
              <w:left w:w="150.0" w:type="dxa"/>
              <w:bottom w:w="150.0" w:type="dxa"/>
              <w:right w:w="15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shd w:fill="auto" w:val="clear"/>
              </w:rPr>
            </w:pPr>
            <w:r w:rsidDel="00000000" w:rsidR="00000000" w:rsidRPr="00000000">
              <w:rPr>
                <w:rFonts w:ascii="Helvetica Neue" w:cs="Helvetica Neue" w:eastAsia="Helvetica Neue" w:hAnsi="Helvetica Neue"/>
                <w:b w:val="1"/>
                <w:bCs w:val="1"/>
                <w:shd w:fill="auto" w:val="clear"/>
                <w:rtl w:val="0"/>
              </w:rPr>
              <w:t xml:space="preserve">Pobre (Poor)</w:t>
            </w:r>
          </w:p>
        </w:tc>
        <w:tc>
          <w:tcPr>
            <w:tcBorders>
              <w:top w:color="cbd5e0" w:space="0" w:sz="6" w:val="single"/>
              <w:left w:color="cbd5e0" w:space="0" w:sz="6" w:val="single"/>
              <w:bottom w:color="cbd5e0" w:space="0" w:sz="6" w:val="single"/>
              <w:right w:color="cbd5e0" w:space="0" w:sz="6" w:val="single"/>
            </w:tcBorders>
            <w:shd w:fill="f7fafc" w:val="clear"/>
            <w:tcMar>
              <w:top w:w="150.0" w:type="dxa"/>
              <w:left w:w="150.0" w:type="dxa"/>
              <w:bottom w:w="150.0" w:type="dxa"/>
              <w:right w:w="15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shd w:fill="auto" w:val="clear"/>
              </w:rPr>
            </w:pPr>
            <w:r w:rsidDel="00000000" w:rsidR="00000000" w:rsidRPr="00000000">
              <w:rPr>
                <w:rFonts w:ascii="Helvetica Neue" w:cs="Helvetica Neue" w:eastAsia="Helvetica Neue" w:hAnsi="Helvetica Neue"/>
                <w:b w:val="1"/>
                <w:bCs w:val="1"/>
                <w:shd w:fill="auto" w:val="clear"/>
                <w:rtl w:val="0"/>
              </w:rPr>
              <w:t xml:space="preserve">Regular (Fair)</w:t>
            </w:r>
          </w:p>
        </w:tc>
        <w:tc>
          <w:tcPr>
            <w:tcBorders>
              <w:top w:color="cbd5e0" w:space="0" w:sz="6" w:val="single"/>
              <w:left w:color="cbd5e0" w:space="0" w:sz="6" w:val="single"/>
              <w:bottom w:color="cbd5e0" w:space="0" w:sz="6" w:val="single"/>
              <w:right w:color="cbd5e0" w:space="0" w:sz="6" w:val="single"/>
            </w:tcBorders>
            <w:shd w:fill="f7fafc" w:val="clear"/>
            <w:tcMar>
              <w:top w:w="150.0" w:type="dxa"/>
              <w:left w:w="150.0" w:type="dxa"/>
              <w:bottom w:w="150.0" w:type="dxa"/>
              <w:right w:w="15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shd w:fill="auto" w:val="clear"/>
              </w:rPr>
            </w:pPr>
            <w:r w:rsidDel="00000000" w:rsidR="00000000" w:rsidRPr="00000000">
              <w:rPr>
                <w:rFonts w:ascii="Helvetica Neue" w:cs="Helvetica Neue" w:eastAsia="Helvetica Neue" w:hAnsi="Helvetica Neue"/>
                <w:b w:val="1"/>
                <w:bCs w:val="1"/>
                <w:shd w:fill="auto" w:val="clear"/>
                <w:rtl w:val="0"/>
              </w:rPr>
              <w:t xml:space="preserve">Bueno (Good)</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Contenido de TOC (%)</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0 - 0.5</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0.5 - 1</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1 - 2</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Índice de Hidrógeno (HI)</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0 - 150 (Gas)</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150 - 300 (Gas y Petróleo)</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&gt;300 (Petróleo)</w:t>
            </w:r>
          </w:p>
        </w:tc>
      </w:tr>
    </w:tbl>
    <w:p w:rsidR="00000000" w:rsidDel="00000000" w:rsidP="00000000" w:rsidRDefault="00000000" w:rsidRPr="00000000" w14:paraId="00000026">
      <w:pPr>
        <w:pStyle w:val="Heading2"/>
        <w:pBdr>
          <w:top w:space="0" w:sz="0" w:val="nil"/>
          <w:left w:space="0" w:sz="0" w:val="nil"/>
          <w:bottom w:space="0" w:sz="0" w:val="nil"/>
          <w:right w:space="0" w:sz="0" w:val="nil"/>
          <w:between w:space="0" w:sz="0" w:val="nil"/>
        </w:pBdr>
        <w:shd w:fill="auto" w:val="clear"/>
        <w:spacing w:before="375" w:lineRule="auto"/>
        <w:rPr>
          <w:rFonts w:ascii="Helvetica Neue" w:cs="Helvetica Neue" w:eastAsia="Helvetica Neue" w:hAnsi="Helvetica Neue"/>
          <w:color w:val="2b6cb0"/>
        </w:rPr>
      </w:pPr>
      <w:r w:rsidDel="00000000" w:rsidR="00000000" w:rsidRPr="00000000">
        <w:rPr>
          <w:rFonts w:ascii="Helvetica Neue" w:cs="Helvetica Neue" w:eastAsia="Helvetica Neue" w:hAnsi="Helvetica Neue"/>
          <w:color w:val="2b6cb0"/>
          <w:rtl w:val="0"/>
        </w:rPr>
        <w:t xml:space="preserve">2. Factores de Sincronía, Migración y Preservación</w:t>
      </w:r>
    </w:p>
    <w:tbl>
      <w:tblPr>
        <w:tblStyle w:val="Table3"/>
        <w:tblW w:w="9360.0" w:type="dxa"/>
        <w:jc w:val="left"/>
        <w:tblBorders>
          <w:top w:color="cbd5e0" w:space="0" w:sz="6" w:val="single"/>
          <w:left w:color="cbd5e0" w:space="0" w:sz="6" w:val="single"/>
          <w:bottom w:color="cbd5e0" w:space="0" w:sz="6" w:val="single"/>
          <w:right w:color="cbd5e0" w:space="0" w:sz="6" w:val="single"/>
          <w:insideH w:color="cbd5e0" w:space="0" w:sz="6" w:val="single"/>
          <w:insideV w:color="cbd5e0" w:space="0" w:sz="6" w:val="single"/>
        </w:tblBorders>
        <w:tblLayout w:type="fixed"/>
        <w:tblLook w:val="0600"/>
      </w:tblPr>
      <w:tblGrid>
        <w:gridCol w:w="2340"/>
        <w:gridCol w:w="5148"/>
        <w:gridCol w:w="1872"/>
        <w:tblGridChange w:id="0">
          <w:tblGrid>
            <w:gridCol w:w="2340"/>
            <w:gridCol w:w="5148"/>
            <w:gridCol w:w="1872"/>
          </w:tblGrid>
        </w:tblGridChange>
      </w:tblGrid>
      <w:tr>
        <w:trPr>
          <w:cantSplit w:val="0"/>
          <w:tblHeader w:val="1"/>
        </w:trPr>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Factor</w:t>
            </w:r>
          </w:p>
        </w:tc>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Definición / Criterio Técnico</w:t>
            </w:r>
          </w:p>
        </w:tc>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Valor / Anotaciones</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Sincronía del Cierre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718096"/>
                <w:sz w:val="16"/>
                <w:szCs w:val="16"/>
              </w:rPr>
            </w:pPr>
            <w:r w:rsidDel="00000000" w:rsidR="00000000" w:rsidRPr="00000000">
              <w:rPr>
                <w:rFonts w:ascii="Helvetica Neue" w:cs="Helvetica Neue" w:eastAsia="Helvetica Neue" w:hAnsi="Helvetica Neue"/>
                <w:b w:val="1"/>
                <w:bCs w:val="1"/>
                <w:color w:val="718096"/>
                <w:sz w:val="16"/>
                <w:szCs w:val="16"/>
                <w:rtl w:val="0"/>
              </w:rPr>
              <w:t xml:space="preserve">(Timing of Closure)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Confianza en que el Cierre existía antes del momento más temprano de maduración de la Roca Madre.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rPr>
            </w:pPr>
            <w:r w:rsidDel="00000000" w:rsidR="00000000" w:rsidRPr="00000000">
              <w:rPr>
                <w:rtl w:val="0"/>
              </w:rPr>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Sincronía de la Expulsión</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718096"/>
                <w:sz w:val="16"/>
                <w:szCs w:val="16"/>
              </w:rPr>
            </w:pPr>
            <w:r w:rsidDel="00000000" w:rsidR="00000000" w:rsidRPr="00000000">
              <w:rPr>
                <w:rFonts w:ascii="Helvetica Neue" w:cs="Helvetica Neue" w:eastAsia="Helvetica Neue" w:hAnsi="Helvetica Neue"/>
                <w:b w:val="1"/>
                <w:bCs w:val="1"/>
                <w:color w:val="718096"/>
                <w:sz w:val="16"/>
                <w:szCs w:val="16"/>
                <w:rtl w:val="0"/>
              </w:rPr>
              <w:t xml:space="preserve">(Timing of Expulsion)</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Confianza en que el Cierre existía antes del momento más temprano de expulsión de hidrocarburos hacia el área de drenaje (Fetch Area) del Cierre.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color w:val="4a5568"/>
                <w:sz w:val="16"/>
                <w:szCs w:val="16"/>
              </w:rPr>
            </w:pPr>
            <w:r w:rsidDel="00000000" w:rsidR="00000000" w:rsidRPr="00000000">
              <w:rPr>
                <w:rFonts w:ascii="Helvetica Neue" w:cs="Helvetica Neue" w:eastAsia="Helvetica Neue" w:hAnsi="Helvetica Neue"/>
                <w:color w:val="4a5568"/>
                <w:sz w:val="16"/>
                <w:szCs w:val="16"/>
                <w:rtl w:val="0"/>
              </w:rPr>
              <w:t xml:space="preserve">Nota: Se sabe que la migración es posterior a la formación de la trampa.</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Vía de Migración Efectiva</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718096"/>
                <w:sz w:val="16"/>
                <w:szCs w:val="16"/>
              </w:rPr>
            </w:pPr>
            <w:r w:rsidDel="00000000" w:rsidR="00000000" w:rsidRPr="00000000">
              <w:rPr>
                <w:rFonts w:ascii="Helvetica Neue" w:cs="Helvetica Neue" w:eastAsia="Helvetica Neue" w:hAnsi="Helvetica Neue"/>
                <w:b w:val="1"/>
                <w:bCs w:val="1"/>
                <w:color w:val="718096"/>
                <w:sz w:val="16"/>
                <w:szCs w:val="16"/>
                <w:rtl w:val="0"/>
              </w:rPr>
              <w:t xml:space="preserve">(Effective Migration Fairway)</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Confianza en que el Cierre estuvo en la ruta directa de migración (área de drenaje) con un mínimo de barreras o fraccionamiento en la migración.</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Preservación</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e53e3e"/>
                <w:sz w:val="16"/>
                <w:szCs w:val="16"/>
              </w:rPr>
            </w:pPr>
            <w:r w:rsidDel="00000000" w:rsidR="00000000" w:rsidRPr="00000000">
              <w:rPr>
                <w:rFonts w:ascii="Helvetica Neue" w:cs="Helvetica Neue" w:eastAsia="Helvetica Neue" w:hAnsi="Helvetica Neue"/>
                <w:b w:val="1"/>
                <w:bCs w:val="1"/>
                <w:color w:val="e53e3e"/>
                <w:sz w:val="16"/>
                <w:szCs w:val="16"/>
                <w:rtl w:val="0"/>
              </w:rPr>
              <w:t xml:space="preserve">(FACTOR CLAVE)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Confianza en que los procesos posteriores al atrapamiento (Fallamiento, Tectonismo o Biodegradación) no han comprometido el cierre ni la calidad de los hidrocarburos contenidos.</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tc>
      </w:tr>
    </w:tbl>
    <w:p w:rsidR="00000000" w:rsidDel="00000000" w:rsidP="00000000" w:rsidRDefault="00000000" w:rsidRPr="00000000" w14:paraId="0000003B">
      <w:pPr>
        <w:pStyle w:val="Heading2"/>
        <w:pBdr>
          <w:top w:space="0" w:sz="0" w:val="nil"/>
          <w:left w:space="0" w:sz="0" w:val="nil"/>
          <w:bottom w:space="0" w:sz="0" w:val="nil"/>
          <w:right w:space="0" w:sz="0" w:val="nil"/>
          <w:between w:space="0" w:sz="0" w:val="nil"/>
        </w:pBdr>
        <w:shd w:fill="auto" w:val="clear"/>
        <w:spacing w:before="375" w:lineRule="auto"/>
        <w:rPr>
          <w:rFonts w:ascii="Helvetica Neue" w:cs="Helvetica Neue" w:eastAsia="Helvetica Neue" w:hAnsi="Helvetica Neue"/>
          <w:color w:val="2b6cb0"/>
        </w:rPr>
      </w:pPr>
      <w:r w:rsidDel="00000000" w:rsidR="00000000" w:rsidRPr="00000000">
        <w:rPr>
          <w:rtl w:val="0"/>
        </w:rPr>
      </w:r>
    </w:p>
    <w:p w:rsidR="00000000" w:rsidDel="00000000" w:rsidP="00000000" w:rsidRDefault="00000000" w:rsidRPr="00000000" w14:paraId="0000003C">
      <w:pPr>
        <w:pStyle w:val="Heading2"/>
        <w:pBdr>
          <w:top w:space="0" w:sz="0" w:val="nil"/>
          <w:left w:space="0" w:sz="0" w:val="nil"/>
          <w:bottom w:space="0" w:sz="0" w:val="nil"/>
          <w:right w:space="0" w:sz="0" w:val="nil"/>
          <w:between w:space="0" w:sz="0" w:val="nil"/>
        </w:pBdr>
        <w:shd w:fill="auto" w:val="clear"/>
        <w:spacing w:before="375" w:lineRule="auto"/>
        <w:rPr>
          <w:rFonts w:ascii="Helvetica Neue" w:cs="Helvetica Neue" w:eastAsia="Helvetica Neue" w:hAnsi="Helvetica Neue"/>
          <w:color w:val="2b6cb0"/>
        </w:rPr>
      </w:pPr>
      <w:r w:rsidDel="00000000" w:rsidR="00000000" w:rsidRPr="00000000">
        <w:rPr>
          <w:rFonts w:ascii="Helvetica Neue" w:cs="Helvetica Neue" w:eastAsia="Helvetica Neue" w:hAnsi="Helvetica Neue"/>
          <w:color w:val="2b6cb0"/>
          <w:rtl w:val="0"/>
        </w:rPr>
        <w:t xml:space="preserve">3. Factores del Reservorio (Reservoir Factors)</w:t>
      </w:r>
    </w:p>
    <w:tbl>
      <w:tblPr>
        <w:tblStyle w:val="Table4"/>
        <w:tblW w:w="9360.0" w:type="dxa"/>
        <w:jc w:val="left"/>
        <w:tblBorders>
          <w:top w:color="cbd5e0" w:space="0" w:sz="6" w:val="single"/>
          <w:left w:color="cbd5e0" w:space="0" w:sz="6" w:val="single"/>
          <w:bottom w:color="cbd5e0" w:space="0" w:sz="6" w:val="single"/>
          <w:right w:color="cbd5e0" w:space="0" w:sz="6" w:val="single"/>
          <w:insideH w:color="cbd5e0" w:space="0" w:sz="6" w:val="single"/>
          <w:insideV w:color="cbd5e0" w:space="0" w:sz="6" w:val="single"/>
        </w:tblBorders>
        <w:tblLayout w:type="fixed"/>
        <w:tblLook w:val="0600"/>
      </w:tblPr>
      <w:tblGrid>
        <w:gridCol w:w="2340"/>
        <w:gridCol w:w="5148"/>
        <w:gridCol w:w="1872"/>
        <w:tblGridChange w:id="0">
          <w:tblGrid>
            <w:gridCol w:w="2340"/>
            <w:gridCol w:w="5148"/>
            <w:gridCol w:w="1872"/>
          </w:tblGrid>
        </w:tblGridChange>
      </w:tblGrid>
      <w:tr>
        <w:trPr>
          <w:cantSplit w:val="0"/>
          <w:tblHeader w:val="1"/>
        </w:trPr>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Factor</w:t>
            </w:r>
          </w:p>
        </w:tc>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Definición / Criterio Técnico</w:t>
            </w:r>
          </w:p>
        </w:tc>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Valor / Anotaciones</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Presencia</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e53e3e"/>
                <w:sz w:val="16"/>
                <w:szCs w:val="16"/>
              </w:rPr>
            </w:pPr>
            <w:r w:rsidDel="00000000" w:rsidR="00000000" w:rsidRPr="00000000">
              <w:rPr>
                <w:rFonts w:ascii="Helvetica Neue" w:cs="Helvetica Neue" w:eastAsia="Helvetica Neue" w:hAnsi="Helvetica Neue"/>
                <w:b w:val="1"/>
                <w:bCs w:val="1"/>
                <w:color w:val="e53e3e"/>
                <w:sz w:val="16"/>
                <w:szCs w:val="16"/>
                <w:rtl w:val="0"/>
              </w:rPr>
              <w:t xml:space="preserve">(FACTOR CLAVE)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Asumiendo que existe un Cierre: confianza en que se encontrará roca reservorio de la litología apropiada dentro del Cierre.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color w:val="4a5568"/>
                <w:sz w:val="16"/>
                <w:szCs w:val="16"/>
              </w:rPr>
            </w:pPr>
            <w:r w:rsidDel="00000000" w:rsidR="00000000" w:rsidRPr="00000000">
              <w:rPr>
                <w:rFonts w:ascii="Helvetica Neue" w:cs="Helvetica Neue" w:eastAsia="Helvetica Neue" w:hAnsi="Helvetica Neue"/>
                <w:color w:val="4a5568"/>
                <w:sz w:val="16"/>
                <w:szCs w:val="16"/>
                <w:rtl w:val="0"/>
              </w:rPr>
              <w:t xml:space="preserve">Nota: La ubicación desfavorable...</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Calidad</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e53e3e"/>
                <w:sz w:val="16"/>
                <w:szCs w:val="16"/>
              </w:rPr>
            </w:pPr>
            <w:r w:rsidDel="00000000" w:rsidR="00000000" w:rsidRPr="00000000">
              <w:rPr>
                <w:rFonts w:ascii="Helvetica Neue" w:cs="Helvetica Neue" w:eastAsia="Helvetica Neue" w:hAnsi="Helvetica Neue"/>
                <w:b w:val="1"/>
                <w:bCs w:val="1"/>
                <w:color w:val="e53e3e"/>
                <w:sz w:val="16"/>
                <w:szCs w:val="16"/>
                <w:rtl w:val="0"/>
              </w:rPr>
              <w:t xml:space="preserve">(FACTOR CLAVE)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Asumiendo que el Reservorio existe: confianza en que existe al menos la porosidad, permeabilidad y volumen de arcilla (V-shale) mínimos, etc., dentro del cierre.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Comportamiento</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e53e3e"/>
                <w:sz w:val="16"/>
                <w:szCs w:val="16"/>
              </w:rPr>
            </w:pPr>
            <w:r w:rsidDel="00000000" w:rsidR="00000000" w:rsidRPr="00000000">
              <w:rPr>
                <w:rFonts w:ascii="Helvetica Neue" w:cs="Helvetica Neue" w:eastAsia="Helvetica Neue" w:hAnsi="Helvetica Neue"/>
                <w:b w:val="1"/>
                <w:bCs w:val="1"/>
                <w:color w:val="e53e3e"/>
                <w:sz w:val="16"/>
                <w:szCs w:val="16"/>
                <w:rtl w:val="0"/>
              </w:rPr>
              <w:t xml:space="preserve">(FACTOR CLAVE)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Asumiendo que el Reservorio existe: confianza en que el mecanismo de empuje del reservorio es suficiente para permitir el flujo de hidrocarburos hacia el pozo, al menos a la tasa asumida en su modelo económico de flujo de caja.</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tc>
      </w:tr>
    </w:tbl>
    <w:p w:rsidR="00000000" w:rsidDel="00000000" w:rsidP="00000000" w:rsidRDefault="00000000" w:rsidRPr="00000000" w14:paraId="0000004D">
      <w:pPr>
        <w:pStyle w:val="Heading2"/>
        <w:pBdr>
          <w:top w:space="0" w:sz="0" w:val="nil"/>
          <w:left w:space="0" w:sz="0" w:val="nil"/>
          <w:bottom w:space="0" w:sz="0" w:val="nil"/>
          <w:right w:space="0" w:sz="0" w:val="nil"/>
          <w:between w:space="0" w:sz="0" w:val="nil"/>
        </w:pBdr>
        <w:shd w:fill="auto" w:val="clear"/>
        <w:spacing w:before="375" w:lineRule="auto"/>
        <w:rPr>
          <w:rFonts w:ascii="Helvetica Neue" w:cs="Helvetica Neue" w:eastAsia="Helvetica Neue" w:hAnsi="Helvetica Neue"/>
          <w:color w:val="2b6cb0"/>
        </w:rPr>
      </w:pPr>
      <w:r w:rsidDel="00000000" w:rsidR="00000000" w:rsidRPr="00000000">
        <w:rPr>
          <w:rFonts w:ascii="Helvetica Neue" w:cs="Helvetica Neue" w:eastAsia="Helvetica Neue" w:hAnsi="Helvetica Neue"/>
          <w:color w:val="2b6cb0"/>
          <w:rtl w:val="0"/>
        </w:rPr>
        <w:t xml:space="preserve">4. Factores de Geometría de la Trampa / Cierre (Trap Geometry Factors)</w:t>
      </w:r>
    </w:p>
    <w:tbl>
      <w:tblPr>
        <w:tblStyle w:val="Table5"/>
        <w:tblW w:w="9360.0" w:type="dxa"/>
        <w:jc w:val="left"/>
        <w:tblBorders>
          <w:top w:color="cbd5e0" w:space="0" w:sz="6" w:val="single"/>
          <w:left w:color="cbd5e0" w:space="0" w:sz="6" w:val="single"/>
          <w:bottom w:color="cbd5e0" w:space="0" w:sz="6" w:val="single"/>
          <w:right w:color="cbd5e0" w:space="0" w:sz="6" w:val="single"/>
          <w:insideH w:color="cbd5e0" w:space="0" w:sz="6" w:val="single"/>
          <w:insideV w:color="cbd5e0" w:space="0" w:sz="6" w:val="single"/>
        </w:tblBorders>
        <w:tblLayout w:type="fixed"/>
        <w:tblLook w:val="0600"/>
      </w:tblPr>
      <w:tblGrid>
        <w:gridCol w:w="2340"/>
        <w:gridCol w:w="5148"/>
        <w:gridCol w:w="1872"/>
        <w:tblGridChange w:id="0">
          <w:tblGrid>
            <w:gridCol w:w="2340"/>
            <w:gridCol w:w="5148"/>
            <w:gridCol w:w="1872"/>
          </w:tblGrid>
        </w:tblGridChange>
      </w:tblGrid>
      <w:tr>
        <w:trPr>
          <w:cantSplit w:val="0"/>
          <w:tblHeader w:val="1"/>
        </w:trPr>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Factor</w:t>
            </w:r>
          </w:p>
        </w:tc>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Definición / Criterio Técnico</w:t>
            </w:r>
          </w:p>
        </w:tc>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Valor / Anotaciones</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Confiabilidad y Control del Mapa</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e53e3e"/>
                <w:sz w:val="16"/>
                <w:szCs w:val="16"/>
              </w:rPr>
            </w:pPr>
            <w:r w:rsidDel="00000000" w:rsidR="00000000" w:rsidRPr="00000000">
              <w:rPr>
                <w:rFonts w:ascii="Helvetica Neue" w:cs="Helvetica Neue" w:eastAsia="Helvetica Neue" w:hAnsi="Helvetica Neue"/>
                <w:b w:val="1"/>
                <w:bCs w:val="1"/>
                <w:color w:val="e53e3e"/>
                <w:sz w:val="16"/>
                <w:szCs w:val="16"/>
                <w:rtl w:val="0"/>
              </w:rPr>
              <w:t xml:space="preserve">(FACTOR CLAVE)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Relacionado con la calidad del conjunto de datos (SÍSMICA, GRADIENTES DE VELOCIDAD, CONTROL DE POZOS, PALEO, PRESIÓN, etc.) que le brinda confianza en el CIERRE tal como lo ha MAPEADO.</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color w:val="4a5568"/>
                <w:sz w:val="16"/>
                <w:szCs w:val="16"/>
              </w:rPr>
            </w:pPr>
            <w:r w:rsidDel="00000000" w:rsidR="00000000" w:rsidRPr="00000000">
              <w:rPr>
                <w:rFonts w:ascii="Helvetica Neue" w:cs="Helvetica Neue" w:eastAsia="Helvetica Neue" w:hAnsi="Helvetica Neue"/>
                <w:color w:val="4a5568"/>
                <w:sz w:val="16"/>
                <w:szCs w:val="16"/>
                <w:rtl w:val="0"/>
              </w:rPr>
              <w:t xml:space="preserve">Nota: Hay una pequeña duda respecto a...</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Confianza en el Modelo de Trampa</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Confianza en que se conoce un estilo de trampa similar en la región y que ha probado con éxito un sistema petrolero activo. No requiere que el estilo similar sea un "éxito comercial".</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tc>
      </w:tr>
    </w:tbl>
    <w:p w:rsidR="00000000" w:rsidDel="00000000" w:rsidP="00000000" w:rsidRDefault="00000000" w:rsidRPr="00000000" w14:paraId="00000059">
      <w:pPr>
        <w:pStyle w:val="Heading2"/>
        <w:pBdr>
          <w:top w:space="0" w:sz="0" w:val="nil"/>
          <w:left w:space="0" w:sz="0" w:val="nil"/>
          <w:bottom w:space="0" w:sz="0" w:val="nil"/>
          <w:right w:space="0" w:sz="0" w:val="nil"/>
          <w:between w:space="0" w:sz="0" w:val="nil"/>
        </w:pBdr>
        <w:shd w:fill="auto" w:val="clear"/>
        <w:spacing w:before="375" w:lineRule="auto"/>
        <w:rPr>
          <w:rFonts w:ascii="Helvetica Neue" w:cs="Helvetica Neue" w:eastAsia="Helvetica Neue" w:hAnsi="Helvetica Neue"/>
          <w:color w:val="2b6cb0"/>
        </w:rPr>
      </w:pPr>
      <w:r w:rsidDel="00000000" w:rsidR="00000000" w:rsidRPr="00000000">
        <w:rPr>
          <w:rFonts w:ascii="Helvetica Neue" w:cs="Helvetica Neue" w:eastAsia="Helvetica Neue" w:hAnsi="Helvetica Neue"/>
          <w:color w:val="2b6cb0"/>
          <w:rtl w:val="0"/>
        </w:rPr>
        <w:t xml:space="preserve">5. Factores del Sello (Seal Factors)</w:t>
      </w:r>
    </w:p>
    <w:tbl>
      <w:tblPr>
        <w:tblStyle w:val="Table6"/>
        <w:tblW w:w="9360.0" w:type="dxa"/>
        <w:jc w:val="left"/>
        <w:tblBorders>
          <w:top w:color="cbd5e0" w:space="0" w:sz="6" w:val="single"/>
          <w:left w:color="cbd5e0" w:space="0" w:sz="6" w:val="single"/>
          <w:bottom w:color="cbd5e0" w:space="0" w:sz="6" w:val="single"/>
          <w:right w:color="cbd5e0" w:space="0" w:sz="6" w:val="single"/>
          <w:insideH w:color="cbd5e0" w:space="0" w:sz="6" w:val="single"/>
          <w:insideV w:color="cbd5e0" w:space="0" w:sz="6" w:val="single"/>
        </w:tblBorders>
        <w:tblLayout w:type="fixed"/>
        <w:tblLook w:val="0600"/>
      </w:tblPr>
      <w:tblGrid>
        <w:gridCol w:w="2340"/>
        <w:gridCol w:w="5148"/>
        <w:gridCol w:w="1872"/>
        <w:tblGridChange w:id="0">
          <w:tblGrid>
            <w:gridCol w:w="2340"/>
            <w:gridCol w:w="5148"/>
            <w:gridCol w:w="1872"/>
          </w:tblGrid>
        </w:tblGridChange>
      </w:tblGrid>
      <w:tr>
        <w:trPr>
          <w:cantSplit w:val="0"/>
          <w:tblHeader w:val="1"/>
        </w:trPr>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Factor</w:t>
            </w:r>
          </w:p>
        </w:tc>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Definición / Criterio Técnico</w:t>
            </w:r>
          </w:p>
        </w:tc>
        <w:tc>
          <w:tcPr>
            <w:tcBorders>
              <w:top w:color="cbd5e0" w:space="0" w:sz="6" w:val="single"/>
              <w:left w:color="cbd5e0" w:space="0" w:sz="6" w:val="single"/>
              <w:bottom w:color="cbd5e0" w:space="0" w:sz="6" w:val="single"/>
              <w:right w:color="cbd5e0" w:space="0" w:sz="6" w:val="single"/>
            </w:tcBorders>
            <w:shd w:fill="ebf8ff" w:val="clear"/>
            <w:tcMar>
              <w:top w:w="150.0" w:type="dxa"/>
              <w:left w:w="150.0" w:type="dxa"/>
              <w:bottom w:w="150.0" w:type="dxa"/>
              <w:right w:w="15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2b6cb0"/>
                <w:shd w:fill="auto" w:val="clear"/>
              </w:rPr>
            </w:pPr>
            <w:r w:rsidDel="00000000" w:rsidR="00000000" w:rsidRPr="00000000">
              <w:rPr>
                <w:rFonts w:ascii="Helvetica Neue" w:cs="Helvetica Neue" w:eastAsia="Helvetica Neue" w:hAnsi="Helvetica Neue"/>
                <w:b w:val="1"/>
                <w:bCs w:val="1"/>
                <w:color w:val="2b6cb0"/>
                <w:shd w:fill="auto" w:val="clear"/>
                <w:rtl w:val="0"/>
              </w:rPr>
              <w:t xml:space="preserve">Valor / Anotaciones</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Sello Superior</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e53e3e"/>
                <w:sz w:val="16"/>
                <w:szCs w:val="16"/>
              </w:rPr>
            </w:pPr>
            <w:r w:rsidDel="00000000" w:rsidR="00000000" w:rsidRPr="00000000">
              <w:rPr>
                <w:rFonts w:ascii="Helvetica Neue" w:cs="Helvetica Neue" w:eastAsia="Helvetica Neue" w:hAnsi="Helvetica Neue"/>
                <w:b w:val="1"/>
                <w:bCs w:val="1"/>
                <w:color w:val="e53e3e"/>
                <w:sz w:val="16"/>
                <w:szCs w:val="16"/>
                <w:rtl w:val="0"/>
              </w:rPr>
              <w:t xml:space="preserve">(FACTOR CLAVE)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Dado que el sello existe: confianza en que al menos un espesor mínimo de roca sello efectiva protege el cierre contra fugas (considerando el gradiente de fractura). Las FALLAS y FRACTURAS que podrían romper el cierre POSTERIOR al emplazamiento de los hidrocarburos deben manejarse en el subfactor de PRESERVACIÓN de Sincronía/Migración.</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color w:val="4a5568"/>
                <w:sz w:val="16"/>
                <w:szCs w:val="16"/>
              </w:rPr>
            </w:pPr>
            <w:r w:rsidDel="00000000" w:rsidR="00000000" w:rsidRPr="00000000">
              <w:rPr>
                <w:rFonts w:ascii="Helvetica Neue" w:cs="Helvetica Neue" w:eastAsia="Helvetica Neue" w:hAnsi="Helvetica Neue"/>
                <w:color w:val="4a5568"/>
                <w:sz w:val="16"/>
                <w:szCs w:val="16"/>
                <w:rtl w:val="0"/>
              </w:rPr>
              <w:t xml:space="preserve">Nota: No hay incertidumbres acerca del sello.</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Sello Lateral</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Confianza en que los sellos laterales efectivos tienen continuidad (estratigráfica o estructural) y protegen el cierre contra fugas. Considera litologías yuxtapuestas, relaciones de arcilla en la falla (gouge ratios) y efectos diagenéticos.</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Sello Base</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b w:val="1"/>
                <w:bCs w:val="1"/>
                <w:color w:val="e53e3e"/>
                <w:sz w:val="16"/>
                <w:szCs w:val="16"/>
              </w:rPr>
            </w:pPr>
            <w:r w:rsidDel="00000000" w:rsidR="00000000" w:rsidRPr="00000000">
              <w:rPr>
                <w:rFonts w:ascii="Helvetica Neue" w:cs="Helvetica Neue" w:eastAsia="Helvetica Neue" w:hAnsi="Helvetica Neue"/>
                <w:b w:val="1"/>
                <w:bCs w:val="1"/>
                <w:color w:val="e53e3e"/>
                <w:sz w:val="16"/>
                <w:szCs w:val="16"/>
                <w:rtl w:val="0"/>
              </w:rPr>
              <w:t xml:space="preserve">(FACTOR CLAVE)</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Confianza en que un sello efectivo basal (estratigráfico o estructural) protege el cierre contra fugas.</w:t>
            </w:r>
          </w:p>
        </w:tc>
        <w:tc>
          <w:tcPr>
            <w:tcBorders>
              <w:top w:color="cbd5e0" w:space="0" w:sz="6" w:val="single"/>
              <w:left w:color="cbd5e0" w:space="0" w:sz="6" w:val="single"/>
              <w:bottom w:color="cbd5e0" w:space="0" w:sz="6" w:val="single"/>
              <w:right w:color="cbd5e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150" w:before="15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tc>
      </w:tr>
    </w:tbl>
    <w:p w:rsidR="00000000" w:rsidDel="00000000" w:rsidP="00000000" w:rsidRDefault="00000000" w:rsidRPr="00000000" w14:paraId="00000069">
      <w:pPr>
        <w:pStyle w:val="Heading2"/>
        <w:pBdr>
          <w:top w:space="0" w:sz="0" w:val="nil"/>
          <w:left w:space="0" w:sz="0" w:val="nil"/>
          <w:bottom w:space="0" w:sz="0" w:val="nil"/>
          <w:right w:space="0" w:sz="0" w:val="nil"/>
          <w:between w:space="0" w:sz="0" w:val="nil"/>
        </w:pBdr>
        <w:shd w:fill="auto" w:val="clear"/>
        <w:spacing w:before="600" w:lineRule="auto"/>
        <w:rPr>
          <w:rFonts w:ascii="Helvetica Neue" w:cs="Helvetica Neue" w:eastAsia="Helvetica Neue" w:hAnsi="Helvetica Neue"/>
          <w:color w:val="1a365d"/>
        </w:rPr>
      </w:pPr>
      <w:r w:rsidDel="00000000" w:rsidR="00000000" w:rsidRPr="00000000">
        <w:pict>
          <v:rect style="width:0.0pt;height:1.5pt" o:hr="t" o:hrstd="t" o:hralign="center" fillcolor="#A0A0A0" stroked="f"/>
        </w:pict>
      </w:r>
      <w:r w:rsidDel="00000000" w:rsidR="00000000" w:rsidRPr="00000000">
        <w:rPr>
          <w:rFonts w:ascii="Helvetica Neue" w:cs="Helvetica Neue" w:eastAsia="Helvetica Neue" w:hAnsi="Helvetica Neue"/>
          <w:color w:val="1a365d"/>
          <w:rtl w:val="0"/>
        </w:rPr>
        <w:t xml:space="preserve">6. Resumen de Probabilidad Geológica del Sistema</w:t>
      </w:r>
    </w:p>
    <w:tbl>
      <w:tblPr>
        <w:tblStyle w:val="Table7"/>
        <w:tblW w:w="4680.0" w:type="dxa"/>
        <w:jc w:val="left"/>
        <w:tblBorders>
          <w:top w:color="cbd5e0" w:space="0" w:sz="6" w:val="single"/>
          <w:left w:color="cbd5e0" w:space="0" w:sz="6" w:val="single"/>
          <w:bottom w:color="cbd5e0" w:space="0" w:sz="6" w:val="single"/>
          <w:right w:color="cbd5e0" w:space="0" w:sz="6" w:val="single"/>
          <w:insideH w:color="cbd5e0" w:space="0" w:sz="6" w:val="single"/>
          <w:insideV w:color="cbd5e0" w:space="0" w:sz="6" w:val="single"/>
        </w:tblBorders>
        <w:tblLayout w:type="fixed"/>
        <w:tblLook w:val="0600"/>
      </w:tblPr>
      <w:tblGrid>
        <w:gridCol w:w="2340"/>
        <w:gridCol w:w="2340"/>
        <w:tblGridChange w:id="0">
          <w:tblGrid>
            <w:gridCol w:w="2340"/>
            <w:gridCol w:w="2340"/>
          </w:tblGrid>
        </w:tblGridChange>
      </w:tblGrid>
      <w:tr>
        <w:trPr>
          <w:cantSplit w:val="0"/>
          <w:tblHeader w:val="1"/>
        </w:trPr>
        <w:tc>
          <w:tcPr>
            <w:tcBorders>
              <w:top w:color="cbd5e0" w:space="0" w:sz="6" w:val="single"/>
              <w:left w:color="cbd5e0" w:space="0" w:sz="6" w:val="single"/>
              <w:bottom w:color="cbd5e0" w:space="0" w:sz="6" w:val="single"/>
              <w:right w:color="cbd5e0" w:space="0" w:sz="6" w:val="single"/>
            </w:tcBorders>
            <w:shd w:fill="1a365d" w:val="clear"/>
            <w:tcMar>
              <w:top w:w="180.0" w:type="dxa"/>
              <w:left w:w="180.0" w:type="dxa"/>
              <w:bottom w:w="180.0" w:type="dxa"/>
              <w:right w:w="18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180" w:before="180" w:lineRule="auto"/>
              <w:rPr>
                <w:rFonts w:ascii="Helvetica Neue" w:cs="Helvetica Neue" w:eastAsia="Helvetica Neue" w:hAnsi="Helvetica Neue"/>
                <w:b w:val="1"/>
                <w:bCs w:val="1"/>
                <w:color w:val="ffffff"/>
                <w:shd w:fill="auto" w:val="clear"/>
              </w:rPr>
            </w:pPr>
            <w:r w:rsidDel="00000000" w:rsidR="00000000" w:rsidRPr="00000000">
              <w:rPr>
                <w:rFonts w:ascii="Helvetica Neue" w:cs="Helvetica Neue" w:eastAsia="Helvetica Neue" w:hAnsi="Helvetica Neue"/>
                <w:b w:val="1"/>
                <w:bCs w:val="1"/>
                <w:color w:val="ffffff"/>
                <w:shd w:fill="auto" w:val="clear"/>
                <w:rtl w:val="0"/>
              </w:rPr>
              <w:t xml:space="preserve">Métrica Global</w:t>
            </w:r>
          </w:p>
        </w:tc>
        <w:tc>
          <w:tcPr>
            <w:tcBorders>
              <w:top w:color="cbd5e0" w:space="0" w:sz="6" w:val="single"/>
              <w:left w:color="cbd5e0" w:space="0" w:sz="6" w:val="single"/>
              <w:bottom w:color="cbd5e0" w:space="0" w:sz="6" w:val="single"/>
              <w:right w:color="cbd5e0" w:space="0" w:sz="6" w:val="single"/>
            </w:tcBorders>
            <w:shd w:fill="1a365d" w:val="clear"/>
            <w:tcMar>
              <w:top w:w="180.0" w:type="dxa"/>
              <w:left w:w="180.0" w:type="dxa"/>
              <w:bottom w:w="180.0" w:type="dxa"/>
              <w:right w:w="18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180" w:before="180" w:lineRule="auto"/>
              <w:jc w:val="center"/>
              <w:rPr>
                <w:rFonts w:ascii="Helvetica Neue" w:cs="Helvetica Neue" w:eastAsia="Helvetica Neue" w:hAnsi="Helvetica Neue"/>
                <w:b w:val="1"/>
                <w:bCs w:val="1"/>
                <w:color w:val="ffffff"/>
                <w:shd w:fill="auto" w:val="clear"/>
              </w:rPr>
            </w:pPr>
            <w:r w:rsidDel="00000000" w:rsidR="00000000" w:rsidRPr="00000000">
              <w:rPr>
                <w:rFonts w:ascii="Helvetica Neue" w:cs="Helvetica Neue" w:eastAsia="Helvetica Neue" w:hAnsi="Helvetica Neue"/>
                <w:b w:val="1"/>
                <w:bCs w:val="1"/>
                <w:color w:val="ffffff"/>
                <w:shd w:fill="auto" w:val="clear"/>
                <w:rtl w:val="0"/>
              </w:rPr>
              <w:t xml:space="preserve">Valor</w:t>
            </w:r>
          </w:p>
        </w:tc>
      </w:tr>
      <w:tr>
        <w:trPr>
          <w:cantSplit w:val="0"/>
          <w:tblHeader w:val="0"/>
        </w:trPr>
        <w:tc>
          <w:tcPr>
            <w:tcBorders>
              <w:top w:color="cbd5e0" w:space="0" w:sz="6" w:val="single"/>
              <w:left w:color="cbd5e0" w:space="0" w:sz="6" w:val="single"/>
              <w:bottom w:color="cbd5e0" w:space="0" w:sz="6" w:val="single"/>
              <w:right w:color="cbd5e0"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180" w:before="18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Probabilidad Geológica (Pg)</w:t>
            </w:r>
          </w:p>
        </w:tc>
        <w:tc>
          <w:tcPr>
            <w:tcBorders>
              <w:top w:color="cbd5e0" w:space="0" w:sz="6" w:val="single"/>
              <w:left w:color="cbd5e0" w:space="0" w:sz="6" w:val="single"/>
              <w:bottom w:color="cbd5e0" w:space="0" w:sz="6" w:val="single"/>
              <w:right w:color="cbd5e0"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180" w:before="180" w:lineRule="auto"/>
              <w:jc w:val="center"/>
              <w:rPr>
                <w:rFonts w:ascii="Helvetica Neue" w:cs="Helvetica Neue" w:eastAsia="Helvetica Neue" w:hAnsi="Helvetica Neue"/>
                <w:b w:val="1"/>
                <w:bCs w:val="1"/>
                <w:color w:val="e53e3e"/>
                <w:sz w:val="24"/>
                <w:szCs w:val="24"/>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bCs w:val="1"/>
          <w:color w:val="e53e3e"/>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