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0D" w:rsidRDefault="009E7F0D"/>
    <w:p w:rsidR="00623A0E" w:rsidRPr="00F8177B" w:rsidRDefault="00F8177B" w:rsidP="00F8177B">
      <w:pPr>
        <w:pStyle w:val="Prrafodelista"/>
        <w:numPr>
          <w:ilvl w:val="0"/>
          <w:numId w:val="5"/>
        </w:numPr>
        <w:ind w:left="-142" w:hanging="425"/>
        <w:rPr>
          <w:b/>
        </w:rPr>
      </w:pPr>
      <w:r w:rsidRPr="00F8177B">
        <w:rPr>
          <w:b/>
        </w:rPr>
        <w:t>L</w:t>
      </w:r>
      <w:r w:rsidR="00623A0E" w:rsidRPr="00F8177B">
        <w:rPr>
          <w:b/>
        </w:rPr>
        <w:t>ean y analicen los principales conceptos establecidos en:</w:t>
      </w:r>
    </w:p>
    <w:p w:rsidR="00623A0E" w:rsidRPr="00623A0E" w:rsidRDefault="00623A0E" w:rsidP="00F8177B">
      <w:pPr>
        <w:pStyle w:val="Prrafodelista"/>
        <w:numPr>
          <w:ilvl w:val="0"/>
          <w:numId w:val="4"/>
        </w:numPr>
      </w:pPr>
      <w:r w:rsidRPr="00623A0E">
        <w:t xml:space="preserve">Los artículos 23, 24 y 25 de la </w:t>
      </w:r>
      <w:hyperlink r:id="rId6" w:tgtFrame="_top" w:history="1">
        <w:r w:rsidRPr="00F8177B">
          <w:t>Declaración Universal de Derechos Humanos</w:t>
        </w:r>
      </w:hyperlink>
      <w:r w:rsidRPr="00623A0E">
        <w:t>, con rango constitucional desde la reforma de 1994 en Argentina;</w:t>
      </w:r>
    </w:p>
    <w:p w:rsidR="00623A0E" w:rsidRPr="00623A0E" w:rsidRDefault="00623A0E" w:rsidP="00F8177B">
      <w:pPr>
        <w:pStyle w:val="Prrafodelista"/>
        <w:numPr>
          <w:ilvl w:val="0"/>
          <w:numId w:val="4"/>
        </w:numPr>
      </w:pPr>
      <w:r w:rsidRPr="00623A0E">
        <w:t xml:space="preserve">El artículo 7 del </w:t>
      </w:r>
      <w:hyperlink r:id="rId7" w:tgtFrame="_top" w:history="1">
        <w:r w:rsidRPr="00F8177B">
          <w:t>Pacto Internacional de Derechos Económicos, Sociales y Culturales</w:t>
        </w:r>
      </w:hyperlink>
      <w:r w:rsidRPr="00623A0E">
        <w:t>, también de rango constitucional;</w:t>
      </w:r>
    </w:p>
    <w:p w:rsidR="00623A0E" w:rsidRPr="00623A0E" w:rsidRDefault="00623A0E" w:rsidP="00F8177B">
      <w:pPr>
        <w:pStyle w:val="Prrafodelista"/>
        <w:numPr>
          <w:ilvl w:val="0"/>
          <w:numId w:val="4"/>
        </w:numPr>
      </w:pPr>
      <w:r w:rsidRPr="00623A0E">
        <w:t xml:space="preserve">El artículo 14bis de la </w:t>
      </w:r>
      <w:hyperlink r:id="rId8" w:tgtFrame="_top" w:history="1">
        <w:r w:rsidRPr="00F8177B">
          <w:t>Constitución Nacional</w:t>
        </w:r>
      </w:hyperlink>
    </w:p>
    <w:p w:rsidR="00623A0E" w:rsidRPr="00F8177B" w:rsidRDefault="00AA7A38" w:rsidP="00F8177B">
      <w:pPr>
        <w:pStyle w:val="Prrafodelista"/>
        <w:numPr>
          <w:ilvl w:val="0"/>
          <w:numId w:val="5"/>
        </w:numPr>
        <w:ind w:left="266" w:hanging="425"/>
        <w:rPr>
          <w:b/>
        </w:rPr>
      </w:pPr>
      <w:hyperlink r:id="rId9" w:history="1">
        <w:r w:rsidR="00623A0E" w:rsidRPr="00F8177B">
          <w:rPr>
            <w:b/>
          </w:rPr>
          <w:t>Trabajo decente</w:t>
        </w:r>
      </w:hyperlink>
    </w:p>
    <w:p w:rsidR="00F8177B" w:rsidRDefault="00623A0E" w:rsidP="00F8177B">
      <w:pPr>
        <w:pStyle w:val="description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77B">
        <w:rPr>
          <w:rFonts w:asciiTheme="minorHAnsi" w:eastAsiaTheme="minorHAnsi" w:hAnsiTheme="minorHAnsi" w:cstheme="minorBidi"/>
          <w:sz w:val="22"/>
          <w:szCs w:val="22"/>
          <w:lang w:eastAsia="en-US"/>
        </w:rPr>
        <w:t>A qué se llama “trabajo decente”</w:t>
      </w:r>
      <w:proofErr w:type="gramStart"/>
      <w:r w:rsidRPr="00F8177B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proofErr w:type="gramEnd"/>
      <w:r w:rsidRPr="00F817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¿Cómo se lucha contra el trabajo infantil? ¿De qué manera se generan la igualdad de oportunidades y el acceso al trabajo? </w:t>
      </w:r>
    </w:p>
    <w:p w:rsidR="00F8177B" w:rsidRPr="00F8177B" w:rsidRDefault="00AA7A38" w:rsidP="00F8177B">
      <w:pPr>
        <w:pStyle w:val="Prrafodelista"/>
        <w:numPr>
          <w:ilvl w:val="0"/>
          <w:numId w:val="5"/>
        </w:numPr>
        <w:ind w:left="266" w:hanging="425"/>
        <w:rPr>
          <w:b/>
        </w:rPr>
      </w:pPr>
      <w:hyperlink r:id="rId10" w:history="1">
        <w:r w:rsidR="00F8177B" w:rsidRPr="00F8177B">
          <w:rPr>
            <w:b/>
          </w:rPr>
          <w:t>Trabajo de</w:t>
        </w:r>
        <w:r w:rsidR="00F8177B">
          <w:rPr>
            <w:b/>
          </w:rPr>
          <w:t xml:space="preserve"> extranjeros</w:t>
        </w:r>
      </w:hyperlink>
    </w:p>
    <w:p w:rsidR="00623A0E" w:rsidRPr="00623A0E" w:rsidRDefault="00F8177B" w:rsidP="00171DEC">
      <w:pPr>
        <w:pStyle w:val="description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Factores </w:t>
      </w:r>
      <w:r w:rsidR="00623A0E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expulsión</w:t>
      </w:r>
      <w:r w:rsidR="00623A0E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es decir, las razones por las cuales esta 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población</w:t>
      </w:r>
      <w:r w:rsidR="00623A0E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ve obligada a irse de su lugar de origen y buscar mejores posibilidades de vida en otro 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país</w:t>
      </w:r>
      <w:r w:rsidR="00623A0E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23A0E" w:rsidRPr="00623A0E" w:rsidRDefault="00F8177B" w:rsidP="00171DEC">
      <w:pPr>
        <w:pStyle w:val="description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Factores </w:t>
      </w:r>
      <w:r w:rsidR="00623A0E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atracción</w:t>
      </w:r>
      <w:r w:rsidR="00623A0E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:rsidR="00623A0E" w:rsidRPr="00623A0E" w:rsidRDefault="00623A0E" w:rsidP="00171DEC">
      <w:pPr>
        <w:pStyle w:val="description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Por </w:t>
      </w:r>
      <w:r w:rsidR="00F8177B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qué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Argentina es uno de los lugares elegidos por los inmigrantes.</w:t>
      </w:r>
      <w:r w:rsidR="00F817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177B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Qué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zonas del </w:t>
      </w:r>
      <w:r w:rsidR="00F8177B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país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prefieren. Por </w:t>
      </w:r>
      <w:r w:rsidR="00F8177B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qué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razones son sus lugares de asentamiento.</w:t>
      </w:r>
    </w:p>
    <w:p w:rsidR="00623A0E" w:rsidRPr="00623A0E" w:rsidRDefault="00623A0E" w:rsidP="00171DEC">
      <w:pPr>
        <w:pStyle w:val="description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177B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Qué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trabajos realizan</w:t>
      </w:r>
      <w:proofErr w:type="gramStart"/>
      <w:r w:rsidR="00F8177B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 w:rsidR="00F817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</w:t>
      </w:r>
      <w:r w:rsidR="00F8177B"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>qu</w:t>
      </w:r>
      <w:r w:rsidR="00F8177B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623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condiciones trabajan.</w:t>
      </w:r>
    </w:p>
    <w:p w:rsidR="00171DEC" w:rsidRPr="00171DEC" w:rsidRDefault="00171DEC" w:rsidP="00171DEC">
      <w:pPr>
        <w:ind w:left="-159"/>
        <w:rPr>
          <w:b/>
        </w:rPr>
      </w:pPr>
    </w:p>
    <w:p w:rsidR="007D141B" w:rsidRPr="00171DEC" w:rsidRDefault="007D141B" w:rsidP="00171DEC">
      <w:pPr>
        <w:pStyle w:val="Prrafodelista"/>
        <w:numPr>
          <w:ilvl w:val="0"/>
          <w:numId w:val="5"/>
        </w:numPr>
        <w:ind w:left="266" w:hanging="425"/>
        <w:rPr>
          <w:b/>
        </w:rPr>
      </w:pPr>
      <w:bookmarkStart w:id="0" w:name="_GoBack"/>
      <w:bookmarkEnd w:id="0"/>
      <w:r w:rsidRPr="00171DEC">
        <w:rPr>
          <w:b/>
        </w:rPr>
        <w:t>Que son los sindicatos? Y los gremios</w:t>
      </w:r>
      <w:proofErr w:type="gramStart"/>
      <w:r w:rsidRPr="00171DEC">
        <w:rPr>
          <w:b/>
        </w:rPr>
        <w:t>?</w:t>
      </w:r>
      <w:proofErr w:type="gramEnd"/>
      <w:r w:rsidRPr="00171DEC">
        <w:rPr>
          <w:b/>
        </w:rPr>
        <w:t xml:space="preserve"> </w:t>
      </w:r>
      <w:r w:rsidR="00AC1383" w:rsidRPr="00171DEC">
        <w:rPr>
          <w:b/>
        </w:rPr>
        <w:t>Y las asociaciones profesionales</w:t>
      </w:r>
    </w:p>
    <w:p w:rsidR="007D141B" w:rsidRDefault="00171DEC">
      <w:r>
        <w:t xml:space="preserve">Indique su historia y funciones. Mencione algunos </w:t>
      </w:r>
    </w:p>
    <w:p w:rsidR="00171DEC" w:rsidRDefault="00171DEC"/>
    <w:p w:rsidR="007D141B" w:rsidRPr="00171DEC" w:rsidRDefault="007D141B" w:rsidP="00171DEC">
      <w:pPr>
        <w:pStyle w:val="Prrafodelista"/>
        <w:numPr>
          <w:ilvl w:val="0"/>
          <w:numId w:val="5"/>
        </w:numPr>
        <w:ind w:left="266" w:hanging="425"/>
        <w:rPr>
          <w:b/>
        </w:rPr>
      </w:pPr>
      <w:r w:rsidRPr="00171DEC">
        <w:rPr>
          <w:b/>
        </w:rPr>
        <w:t>Convenio sobre igualdad de remuneración</w:t>
      </w:r>
      <w:r w:rsidR="00171DEC" w:rsidRPr="00171DEC">
        <w:t xml:space="preserve"> </w:t>
      </w:r>
      <w:r w:rsidR="00171DEC" w:rsidRPr="00171DEC">
        <w:rPr>
          <w:b/>
        </w:rPr>
        <w:t>n.° 100</w:t>
      </w:r>
      <w:r w:rsidR="00171DEC">
        <w:rPr>
          <w:b/>
        </w:rPr>
        <w:t xml:space="preserve"> de la OIT</w:t>
      </w:r>
    </w:p>
    <w:p w:rsidR="007D141B" w:rsidRDefault="007D141B" w:rsidP="007D141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Convenio relativo a la igualdad de remuneración entre la mano de obra masculina y la mano de obra femenina por un trabajo de igual valor, o Convenio sobre igualdad de remuneración, es el centésimo </w:t>
      </w:r>
      <w:hyperlink r:id="rId11" w:anchor="Normas.2C_convenios.2C_recomendaciones_y_declaraciones" w:tooltip="Organización Internacional del Trabajo" w:history="1">
        <w:r w:rsidRPr="00171DE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convenio</w:t>
        </w:r>
      </w:hyperlink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</w:t>
      </w:r>
      <w:hyperlink r:id="rId12" w:tooltip="Organización Internacional del Trabajo" w:history="1">
        <w:r w:rsidRPr="00171DE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Organización Internacional del Trabajo</w:t>
        </w:r>
      </w:hyperlink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(OIT) y el principal dirigido a la igualdad de remuneración entre la mano de obra masculina y la mano de obra femenina por un trabajo de igual valor. Los Estados partes del convenio se comprometen a alcanzar dicha igualdad de </w:t>
      </w:r>
      <w:r w:rsidR="00171DEC"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>remuneración</w:t>
      </w:r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por medio de la legislación, la introducción de un sistema para la determinación de los salarios y/o la promoción de acuerdos de negociación colectiva. El convenio 100 es uno de los ocho </w:t>
      </w:r>
      <w:hyperlink r:id="rId13" w:tooltip="Declaración sobre los principios y derechos fundamentales en el trabajo" w:history="1">
        <w:r w:rsidRPr="00171DE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convenios fundamentales</w:t>
        </w:r>
      </w:hyperlink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OIT.</w:t>
      </w:r>
      <w:hyperlink r:id="rId14" w:anchor="cite_note-2" w:history="1">
        <w:r w:rsidRPr="00171DE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2</w:t>
        </w:r>
      </w:hyperlink>
    </w:p>
    <w:p w:rsidR="00171DEC" w:rsidRPr="00171DEC" w:rsidRDefault="00171DEC" w:rsidP="007D141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141B" w:rsidRPr="00171DEC" w:rsidRDefault="007D141B" w:rsidP="00171DEC">
      <w:pPr>
        <w:pStyle w:val="Prrafodelista"/>
        <w:numPr>
          <w:ilvl w:val="0"/>
          <w:numId w:val="5"/>
        </w:numPr>
        <w:ind w:left="266" w:hanging="425"/>
        <w:rPr>
          <w:b/>
        </w:rPr>
      </w:pPr>
      <w:r w:rsidRPr="00171DEC">
        <w:rPr>
          <w:b/>
        </w:rPr>
        <w:t>Convenio sobre la discriminación (empleo y ocupación)</w:t>
      </w:r>
    </w:p>
    <w:p w:rsidR="007D141B" w:rsidRDefault="007D141B" w:rsidP="00171DEC">
      <w:pPr>
        <w:pStyle w:val="NormalWeb"/>
      </w:pPr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Convenio relativo a la discriminación en materia de empleo y ocupación, o Convenio sobre la discriminación (empleo y ocupación) (Convenio n.º 111), es un </w:t>
      </w:r>
      <w:hyperlink r:id="rId15" w:anchor="Normas.2C_convenios.2C_recomendaciones_y_declaraciones" w:tooltip="Organización Internacional del Trabajo" w:history="1">
        <w:r w:rsidRPr="00171DE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convenio</w:t>
        </w:r>
      </w:hyperlink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</w:t>
      </w:r>
      <w:hyperlink r:id="rId16" w:tooltip="Organización Internacional del Trabajo" w:history="1">
        <w:r w:rsidRPr="00171DE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Organización Internacional del Trabajo</w:t>
        </w:r>
      </w:hyperlink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(OIT) contra la </w:t>
      </w:r>
      <w:hyperlink r:id="rId17" w:tooltip="Discriminación" w:history="1">
        <w:r w:rsidRPr="00171DE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discriminación</w:t>
        </w:r>
      </w:hyperlink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>. Los Estados partes del convenio se comprometen a promover la legislación que prohíbe todo tipo de discriminación y exclusión en cualquier forma, incluyendo «cualquier distinción, exclusión o preferencia basada en motivos de raza, color, sexo, religión, opinión política, ascendencia nacional u origen social que tenga por efecto anular o alterar la igualdad de oportunidades o de trato en el empleo y la ocupación».</w:t>
      </w:r>
      <w:hyperlink r:id="rId18" w:anchor="cite_note-Convenio-2" w:history="1">
        <w:r w:rsidRPr="00171DE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2</w:t>
        </w:r>
      </w:hyperlink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​ El convenio 111 es uno de los ocho </w:t>
      </w:r>
      <w:hyperlink r:id="rId19" w:tooltip="Declaración sobre los principios y derechos fundamentales en el trabajo" w:history="1">
        <w:r w:rsidRPr="00171DE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convenios fundamentales</w:t>
        </w:r>
      </w:hyperlink>
      <w:r w:rsidRPr="00171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OIT.</w:t>
      </w:r>
    </w:p>
    <w:sectPr w:rsidR="007D141B" w:rsidSect="00171DEC">
      <w:pgSz w:w="11906" w:h="16838"/>
      <w:pgMar w:top="141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16E2"/>
    <w:multiLevelType w:val="multilevel"/>
    <w:tmpl w:val="C94E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E08B8"/>
    <w:multiLevelType w:val="multilevel"/>
    <w:tmpl w:val="62B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5594F"/>
    <w:multiLevelType w:val="hybridMultilevel"/>
    <w:tmpl w:val="0CF0C2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667A1"/>
    <w:multiLevelType w:val="multilevel"/>
    <w:tmpl w:val="A3F2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47311"/>
    <w:multiLevelType w:val="hybridMultilevel"/>
    <w:tmpl w:val="3F82D3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2"/>
    <w:rsid w:val="00115088"/>
    <w:rsid w:val="00171DEC"/>
    <w:rsid w:val="00223F02"/>
    <w:rsid w:val="002419CC"/>
    <w:rsid w:val="00623A0E"/>
    <w:rsid w:val="006641E6"/>
    <w:rsid w:val="007D141B"/>
    <w:rsid w:val="007F211D"/>
    <w:rsid w:val="009E7F0D"/>
    <w:rsid w:val="00AA7A38"/>
    <w:rsid w:val="00AC1383"/>
    <w:rsid w:val="00CE152E"/>
    <w:rsid w:val="00F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DD254-D86C-4D54-936D-8FA0B26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88"/>
  </w:style>
  <w:style w:type="paragraph" w:styleId="Ttulo1">
    <w:name w:val="heading 1"/>
    <w:basedOn w:val="Normal"/>
    <w:next w:val="Normal"/>
    <w:link w:val="Ttulo1Car"/>
    <w:uiPriority w:val="9"/>
    <w:qFormat/>
    <w:rsid w:val="007D1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23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3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23A0E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623A0E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23A0E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3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scription">
    <w:name w:val="description"/>
    <w:basedOn w:val="Normal"/>
    <w:rsid w:val="0062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623A0E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23A0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D1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lainlinks">
    <w:name w:val="plainlinks"/>
    <w:basedOn w:val="Fuentedeprrafopredeter"/>
    <w:rsid w:val="007D141B"/>
  </w:style>
  <w:style w:type="paragraph" w:styleId="Prrafodelista">
    <w:name w:val="List Paragraph"/>
    <w:basedOn w:val="Normal"/>
    <w:uiPriority w:val="34"/>
    <w:qFormat/>
    <w:rsid w:val="00F8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467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5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educ.ar/dinamico/UnidadHtml__get__fa15d71f-c100-4efd-ae8d-cf456b5f8c1a/14407/data/83194e33-c845-11e0-81cf-e7f760fda940/anexo3.htm" TargetMode="External"/><Relationship Id="rId13" Type="http://schemas.openxmlformats.org/officeDocument/2006/relationships/hyperlink" Target="https://es.wikipedia.org/wiki/Declaraci%C3%B3n_sobre_los_principios_y_derechos_fundamentales_en_el_trabajo" TargetMode="External"/><Relationship Id="rId18" Type="http://schemas.openxmlformats.org/officeDocument/2006/relationships/hyperlink" Target="https://es.wikipedia.org/wiki/Convenio_sobre_la_discriminaci%C3%B3n_%28empleo_y_ocupaci%C3%B3n%2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dn.educ.ar/dinamico/UnidadHtml__get__fa15d71f-c100-4efd-ae8d-cf456b5f8c1a/14407/data/83194e33-c845-11e0-81cf-e7f760fda940/anexo2.htm" TargetMode="External"/><Relationship Id="rId12" Type="http://schemas.openxmlformats.org/officeDocument/2006/relationships/hyperlink" Target="https://es.wikipedia.org/wiki/Organizaci%C3%B3n_Internacional_del_Trabajo" TargetMode="External"/><Relationship Id="rId17" Type="http://schemas.openxmlformats.org/officeDocument/2006/relationships/hyperlink" Target="https://es.wikipedia.org/wiki/Discriminaci%C3%B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Organizaci%C3%B3n_Internacional_del_Trabaj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dn.educ.ar/dinamico/UnidadHtml__get__fa15d71f-c100-4efd-ae8d-cf456b5f8c1a/14407/data/83194e33-c845-11e0-81cf-e7f760fda940/anexo1.htm" TargetMode="External"/><Relationship Id="rId11" Type="http://schemas.openxmlformats.org/officeDocument/2006/relationships/hyperlink" Target="https://es.wikipedia.org/wiki/Organizaci%C3%B3n_Internacional_del_Traba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Organizaci%C3%B3n_Internacional_del_Trabajo" TargetMode="External"/><Relationship Id="rId10" Type="http://schemas.openxmlformats.org/officeDocument/2006/relationships/hyperlink" Target="https://www.educ.ar/recursos/103643/trabajo-decente" TargetMode="External"/><Relationship Id="rId19" Type="http://schemas.openxmlformats.org/officeDocument/2006/relationships/hyperlink" Target="https://es.wikipedia.org/wiki/Declaraci%C3%B3n_sobre_los_principios_y_derechos_fundamentales_en_el_trabaj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.ar/recursos/103643/trabajo-decente" TargetMode="External"/><Relationship Id="rId14" Type="http://schemas.openxmlformats.org/officeDocument/2006/relationships/hyperlink" Target="https://es.wikipedia.org/wiki/Convenio_sobre_igualdad_de_remuner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F944-FE7A-493D-ADF9-B93ADBD0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lbrottier</dc:creator>
  <cp:lastModifiedBy>Lucia Brottier</cp:lastModifiedBy>
  <cp:revision>3</cp:revision>
  <dcterms:created xsi:type="dcterms:W3CDTF">2022-08-31T00:15:00Z</dcterms:created>
  <dcterms:modified xsi:type="dcterms:W3CDTF">2022-08-31T00:16:00Z</dcterms:modified>
</cp:coreProperties>
</file>