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A445B" w14:textId="77777777" w:rsidR="00830D59" w:rsidRDefault="00515731">
      <w:pPr>
        <w:pStyle w:val="Ttulo5"/>
        <w:jc w:val="center"/>
        <w:rPr>
          <w:i/>
          <w:iCs/>
        </w:rPr>
      </w:pPr>
      <w:r>
        <w:t xml:space="preserve">CPI </w:t>
      </w:r>
    </w:p>
    <w:p w14:paraId="0ECD1C25" w14:textId="77777777" w:rsidR="00830D59" w:rsidRDefault="00830D59">
      <w:pPr>
        <w:pStyle w:val="Ttulo4"/>
        <w:jc w:val="both"/>
        <w:rPr>
          <w:bCs/>
        </w:rPr>
      </w:pPr>
    </w:p>
    <w:p w14:paraId="6DBD7D0C" w14:textId="77777777" w:rsidR="00830D59" w:rsidRDefault="00830D59">
      <w:pPr>
        <w:pStyle w:val="Ttulo4"/>
        <w:jc w:val="both"/>
        <w:rPr>
          <w:bCs/>
        </w:rPr>
      </w:pPr>
      <w:r>
        <w:rPr>
          <w:bCs/>
        </w:rPr>
        <w:t xml:space="preserve">1.-BASE DEL TRATAMIENTO </w:t>
      </w:r>
    </w:p>
    <w:p w14:paraId="19732BC0" w14:textId="77777777" w:rsidR="00830D59" w:rsidRDefault="00830D59">
      <w:pPr>
        <w:autoSpaceDE w:val="0"/>
        <w:autoSpaceDN w:val="0"/>
        <w:adjustRightInd w:val="0"/>
        <w:spacing w:line="288" w:lineRule="auto"/>
        <w:jc w:val="both"/>
        <w:rPr>
          <w:lang w:val="es-ES"/>
        </w:rPr>
      </w:pPr>
    </w:p>
    <w:p w14:paraId="726217EC" w14:textId="77777777" w:rsidR="00830D59" w:rsidRDefault="00830D59">
      <w:pPr>
        <w:autoSpaceDE w:val="0"/>
        <w:autoSpaceDN w:val="0"/>
        <w:adjustRightInd w:val="0"/>
        <w:spacing w:line="288" w:lineRule="auto"/>
        <w:jc w:val="both"/>
        <w:rPr>
          <w:lang w:val="es-ES"/>
        </w:rPr>
      </w:pPr>
      <w:r>
        <w:rPr>
          <w:lang w:val="es-ES"/>
        </w:rPr>
        <w:t xml:space="preserve">Los equipos de separación por coalescencia son sistemas pasivos, empleados para separación líquido-líquido entre medios de características físico-químicas diferentes.  La teoría de separación puede describirse como una combinación de la ley de Stoke y la teoría de placa coalescente, en la cual la superficie de contacto de la gotícula con una superficie y el medio envolvente, condicionan el área requerida para la separación de la fase orgánica. </w:t>
      </w:r>
    </w:p>
    <w:p w14:paraId="383CBB43" w14:textId="77777777" w:rsidR="00830D59" w:rsidRDefault="00830D59">
      <w:pPr>
        <w:autoSpaceDE w:val="0"/>
        <w:autoSpaceDN w:val="0"/>
        <w:adjustRightInd w:val="0"/>
        <w:spacing w:line="288" w:lineRule="auto"/>
        <w:jc w:val="both"/>
        <w:rPr>
          <w:lang w:val="es-ES"/>
        </w:rPr>
      </w:pPr>
    </w:p>
    <w:p w14:paraId="0CE8BD01" w14:textId="77777777" w:rsidR="00830D59" w:rsidRDefault="00830D59">
      <w:pPr>
        <w:autoSpaceDE w:val="0"/>
        <w:autoSpaceDN w:val="0"/>
        <w:adjustRightInd w:val="0"/>
        <w:spacing w:line="288" w:lineRule="auto"/>
        <w:jc w:val="both"/>
        <w:rPr>
          <w:lang w:val="es-ES"/>
        </w:rPr>
      </w:pPr>
      <w:r>
        <w:rPr>
          <w:lang w:val="es-ES"/>
        </w:rPr>
        <w:t>La expresión de Stoke permite determinar la velocidad de sedimentación o ascensión de una partícula esférica de densidad conocida y sometida a una fuerza gravitatoria.</w:t>
      </w:r>
    </w:p>
    <w:p w14:paraId="57A783AA" w14:textId="77777777" w:rsidR="00830D59" w:rsidRDefault="00830D59">
      <w:pPr>
        <w:autoSpaceDE w:val="0"/>
        <w:autoSpaceDN w:val="0"/>
        <w:adjustRightInd w:val="0"/>
        <w:spacing w:line="288" w:lineRule="auto"/>
        <w:jc w:val="both"/>
        <w:rPr>
          <w:lang w:val="es-ES"/>
        </w:rPr>
      </w:pPr>
    </w:p>
    <w:tbl>
      <w:tblPr>
        <w:tblW w:w="7440" w:type="dxa"/>
        <w:tblInd w:w="1270" w:type="dxa"/>
        <w:tblCellMar>
          <w:left w:w="70" w:type="dxa"/>
          <w:right w:w="70" w:type="dxa"/>
        </w:tblCellMar>
        <w:tblLook w:val="0000" w:firstRow="0" w:lastRow="0" w:firstColumn="0" w:lastColumn="0" w:noHBand="0" w:noVBand="0"/>
      </w:tblPr>
      <w:tblGrid>
        <w:gridCol w:w="840"/>
        <w:gridCol w:w="6600"/>
      </w:tblGrid>
      <w:tr w:rsidR="00830D59" w14:paraId="62628F7A" w14:textId="77777777">
        <w:tblPrEx>
          <w:tblCellMar>
            <w:top w:w="0" w:type="dxa"/>
            <w:bottom w:w="0" w:type="dxa"/>
          </w:tblCellMar>
        </w:tblPrEx>
        <w:trPr>
          <w:cantSplit/>
        </w:trPr>
        <w:tc>
          <w:tcPr>
            <w:tcW w:w="7440" w:type="dxa"/>
            <w:gridSpan w:val="2"/>
          </w:tcPr>
          <w:p w14:paraId="5072E25B" w14:textId="77777777" w:rsidR="00830D59" w:rsidRDefault="00830D59">
            <w:pPr>
              <w:jc w:val="center"/>
              <w:rPr>
                <w:b/>
                <w:bCs/>
                <w:i/>
                <w:iCs/>
                <w:lang w:val="es-ES"/>
              </w:rPr>
            </w:pPr>
            <w:r>
              <w:rPr>
                <w:b/>
                <w:bCs/>
                <w:i/>
                <w:iCs/>
                <w:lang w:val="es-ES"/>
              </w:rPr>
              <w:t>v = (2 * g * r</w:t>
            </w:r>
            <w:r>
              <w:rPr>
                <w:b/>
                <w:bCs/>
                <w:i/>
                <w:iCs/>
                <w:vertAlign w:val="superscript"/>
                <w:lang w:val="es-ES"/>
              </w:rPr>
              <w:t>2</w:t>
            </w:r>
            <w:r>
              <w:rPr>
                <w:b/>
                <w:bCs/>
                <w:i/>
                <w:iCs/>
                <w:lang w:val="es-ES"/>
              </w:rPr>
              <w:t>)*(</w:t>
            </w:r>
            <w:r>
              <w:rPr>
                <w:b/>
                <w:bCs/>
                <w:i/>
                <w:iCs/>
                <w:lang w:val="es-ES"/>
              </w:rPr>
              <w:sym w:font="Symbol" w:char="F072"/>
            </w:r>
            <w:r>
              <w:rPr>
                <w:b/>
                <w:bCs/>
                <w:i/>
                <w:iCs/>
                <w:vertAlign w:val="subscript"/>
                <w:lang w:val="es-ES"/>
              </w:rPr>
              <w:t>s</w:t>
            </w:r>
            <w:r>
              <w:rPr>
                <w:b/>
                <w:bCs/>
                <w:i/>
                <w:iCs/>
                <w:lang w:val="es-ES"/>
              </w:rPr>
              <w:t xml:space="preserve"> - </w:t>
            </w:r>
            <w:r>
              <w:rPr>
                <w:b/>
                <w:bCs/>
                <w:i/>
                <w:iCs/>
                <w:lang w:val="en-GB"/>
              </w:rPr>
              <w:sym w:font="Symbol" w:char="F072"/>
            </w:r>
            <w:r>
              <w:rPr>
                <w:b/>
                <w:bCs/>
                <w:i/>
                <w:iCs/>
                <w:vertAlign w:val="subscript"/>
                <w:lang w:val="es-ES"/>
              </w:rPr>
              <w:t>e</w:t>
            </w:r>
            <w:r>
              <w:rPr>
                <w:b/>
                <w:bCs/>
                <w:i/>
                <w:iCs/>
                <w:lang w:val="es-ES"/>
              </w:rPr>
              <w:t>) / ( 9 *</w:t>
            </w:r>
            <w:r>
              <w:rPr>
                <w:b/>
                <w:bCs/>
                <w:i/>
                <w:iCs/>
                <w:lang w:val="es-ES"/>
              </w:rPr>
              <w:sym w:font="Symbol" w:char="F06D"/>
            </w:r>
            <w:r>
              <w:rPr>
                <w:b/>
                <w:bCs/>
                <w:i/>
                <w:iCs/>
                <w:lang w:val="es-ES"/>
              </w:rPr>
              <w:t xml:space="preserve"> )</w:t>
            </w:r>
          </w:p>
        </w:tc>
      </w:tr>
      <w:tr w:rsidR="00830D59" w14:paraId="290CDA2C" w14:textId="77777777">
        <w:tblPrEx>
          <w:tblCellMar>
            <w:top w:w="0" w:type="dxa"/>
            <w:bottom w:w="0" w:type="dxa"/>
          </w:tblCellMar>
        </w:tblPrEx>
        <w:tc>
          <w:tcPr>
            <w:tcW w:w="840" w:type="dxa"/>
          </w:tcPr>
          <w:p w14:paraId="7A273407" w14:textId="77777777" w:rsidR="00830D59" w:rsidRDefault="00830D59">
            <w:pPr>
              <w:jc w:val="center"/>
              <w:rPr>
                <w:b/>
                <w:bCs/>
                <w:i/>
                <w:iCs/>
                <w:lang w:val="es-ES"/>
              </w:rPr>
            </w:pPr>
            <w:r>
              <w:rPr>
                <w:b/>
                <w:bCs/>
                <w:i/>
                <w:iCs/>
                <w:lang w:val="es-ES"/>
              </w:rPr>
              <w:t>v</w:t>
            </w:r>
          </w:p>
        </w:tc>
        <w:tc>
          <w:tcPr>
            <w:tcW w:w="6600" w:type="dxa"/>
          </w:tcPr>
          <w:p w14:paraId="4D03E249" w14:textId="77777777" w:rsidR="00830D59" w:rsidRDefault="00830D59">
            <w:pPr>
              <w:jc w:val="both"/>
              <w:rPr>
                <w:lang w:val="es-ES"/>
              </w:rPr>
            </w:pPr>
            <w:r>
              <w:rPr>
                <w:lang w:val="es-ES"/>
              </w:rPr>
              <w:t>Velocidad de partícula en cm/s</w:t>
            </w:r>
          </w:p>
        </w:tc>
      </w:tr>
      <w:tr w:rsidR="00830D59" w14:paraId="7D1EF5E4" w14:textId="77777777">
        <w:tblPrEx>
          <w:tblCellMar>
            <w:top w:w="0" w:type="dxa"/>
            <w:bottom w:w="0" w:type="dxa"/>
          </w:tblCellMar>
        </w:tblPrEx>
        <w:tc>
          <w:tcPr>
            <w:tcW w:w="840" w:type="dxa"/>
          </w:tcPr>
          <w:p w14:paraId="6D1A80AE" w14:textId="77777777" w:rsidR="00830D59" w:rsidRDefault="00830D59">
            <w:pPr>
              <w:jc w:val="center"/>
              <w:rPr>
                <w:b/>
                <w:bCs/>
                <w:i/>
                <w:iCs/>
                <w:lang w:val="es-ES"/>
              </w:rPr>
            </w:pPr>
            <w:r>
              <w:rPr>
                <w:b/>
                <w:bCs/>
                <w:i/>
                <w:iCs/>
                <w:lang w:val="es-ES"/>
              </w:rPr>
              <w:t>r</w:t>
            </w:r>
          </w:p>
        </w:tc>
        <w:tc>
          <w:tcPr>
            <w:tcW w:w="6600" w:type="dxa"/>
          </w:tcPr>
          <w:p w14:paraId="2CC783FB" w14:textId="77777777" w:rsidR="00830D59" w:rsidRDefault="00830D59">
            <w:pPr>
              <w:jc w:val="both"/>
              <w:rPr>
                <w:lang w:val="es-ES"/>
              </w:rPr>
            </w:pPr>
            <w:r>
              <w:rPr>
                <w:lang w:val="es-ES"/>
              </w:rPr>
              <w:t>Radio de partícula, en cm</w:t>
            </w:r>
          </w:p>
        </w:tc>
      </w:tr>
      <w:tr w:rsidR="00830D59" w14:paraId="3BB2506D" w14:textId="77777777">
        <w:tblPrEx>
          <w:tblCellMar>
            <w:top w:w="0" w:type="dxa"/>
            <w:bottom w:w="0" w:type="dxa"/>
          </w:tblCellMar>
        </w:tblPrEx>
        <w:tc>
          <w:tcPr>
            <w:tcW w:w="840" w:type="dxa"/>
          </w:tcPr>
          <w:p w14:paraId="27CC377F" w14:textId="77777777" w:rsidR="00830D59" w:rsidRDefault="00830D59">
            <w:pPr>
              <w:jc w:val="center"/>
              <w:rPr>
                <w:b/>
                <w:bCs/>
                <w:i/>
                <w:iCs/>
                <w:lang w:val="en-GB"/>
              </w:rPr>
            </w:pPr>
            <w:r>
              <w:rPr>
                <w:b/>
                <w:bCs/>
                <w:i/>
                <w:iCs/>
                <w:lang w:val="en-GB"/>
              </w:rPr>
              <w:t>g</w:t>
            </w:r>
          </w:p>
        </w:tc>
        <w:tc>
          <w:tcPr>
            <w:tcW w:w="6600" w:type="dxa"/>
          </w:tcPr>
          <w:p w14:paraId="6079CCCA" w14:textId="77777777" w:rsidR="00830D59" w:rsidRDefault="00830D59">
            <w:pPr>
              <w:jc w:val="both"/>
              <w:rPr>
                <w:vertAlign w:val="superscript"/>
                <w:lang w:val="en-GB"/>
              </w:rPr>
            </w:pPr>
            <w:r>
              <w:rPr>
                <w:lang w:val="en-GB"/>
              </w:rPr>
              <w:t>981 cm/s</w:t>
            </w:r>
            <w:r>
              <w:rPr>
                <w:vertAlign w:val="superscript"/>
                <w:lang w:val="en-GB"/>
              </w:rPr>
              <w:t>2</w:t>
            </w:r>
          </w:p>
        </w:tc>
      </w:tr>
      <w:tr w:rsidR="00830D59" w14:paraId="60449518" w14:textId="77777777">
        <w:tblPrEx>
          <w:tblCellMar>
            <w:top w:w="0" w:type="dxa"/>
            <w:bottom w:w="0" w:type="dxa"/>
          </w:tblCellMar>
        </w:tblPrEx>
        <w:tc>
          <w:tcPr>
            <w:tcW w:w="840" w:type="dxa"/>
          </w:tcPr>
          <w:p w14:paraId="42C446C8" w14:textId="77777777" w:rsidR="00830D59" w:rsidRDefault="00830D59">
            <w:pPr>
              <w:jc w:val="center"/>
              <w:rPr>
                <w:b/>
                <w:bCs/>
                <w:i/>
                <w:iCs/>
                <w:lang w:val="es-ES"/>
              </w:rPr>
            </w:pPr>
            <w:r>
              <w:rPr>
                <w:b/>
                <w:bCs/>
                <w:i/>
                <w:iCs/>
                <w:lang w:val="es-ES"/>
              </w:rPr>
              <w:sym w:font="Symbol" w:char="F072"/>
            </w:r>
            <w:r>
              <w:rPr>
                <w:b/>
                <w:bCs/>
                <w:i/>
                <w:iCs/>
                <w:vertAlign w:val="subscript"/>
                <w:lang w:val="es-ES"/>
              </w:rPr>
              <w:t>s</w:t>
            </w:r>
            <w:r>
              <w:rPr>
                <w:b/>
                <w:bCs/>
                <w:i/>
                <w:iCs/>
                <w:lang w:val="es-ES"/>
              </w:rPr>
              <w:t xml:space="preserve"> y </w:t>
            </w:r>
            <w:r>
              <w:rPr>
                <w:b/>
                <w:bCs/>
                <w:i/>
                <w:iCs/>
                <w:lang w:val="en-GB"/>
              </w:rPr>
              <w:sym w:font="Symbol" w:char="F072"/>
            </w:r>
            <w:r>
              <w:rPr>
                <w:b/>
                <w:bCs/>
                <w:i/>
                <w:iCs/>
                <w:vertAlign w:val="subscript"/>
                <w:lang w:val="es-ES"/>
              </w:rPr>
              <w:t>e</w:t>
            </w:r>
          </w:p>
        </w:tc>
        <w:tc>
          <w:tcPr>
            <w:tcW w:w="6600" w:type="dxa"/>
          </w:tcPr>
          <w:p w14:paraId="7EDC30AF" w14:textId="77777777" w:rsidR="00830D59" w:rsidRDefault="00830D59">
            <w:pPr>
              <w:jc w:val="both"/>
              <w:rPr>
                <w:lang w:val="es-ES"/>
              </w:rPr>
            </w:pPr>
            <w:r>
              <w:rPr>
                <w:lang w:val="es-ES"/>
              </w:rPr>
              <w:t>Densidad partícula y medio, en g/cm</w:t>
            </w:r>
            <w:r>
              <w:rPr>
                <w:vertAlign w:val="superscript"/>
                <w:lang w:val="es-ES"/>
              </w:rPr>
              <w:t>3</w:t>
            </w:r>
          </w:p>
        </w:tc>
      </w:tr>
      <w:tr w:rsidR="00830D59" w14:paraId="7F2CF669" w14:textId="77777777">
        <w:tblPrEx>
          <w:tblCellMar>
            <w:top w:w="0" w:type="dxa"/>
            <w:bottom w:w="0" w:type="dxa"/>
          </w:tblCellMar>
        </w:tblPrEx>
        <w:tc>
          <w:tcPr>
            <w:tcW w:w="840" w:type="dxa"/>
          </w:tcPr>
          <w:p w14:paraId="4218ACBC" w14:textId="77777777" w:rsidR="00830D59" w:rsidRDefault="00830D59">
            <w:pPr>
              <w:jc w:val="center"/>
              <w:rPr>
                <w:b/>
                <w:bCs/>
                <w:i/>
                <w:iCs/>
                <w:lang w:val="fr-FR"/>
              </w:rPr>
            </w:pPr>
            <w:r>
              <w:rPr>
                <w:b/>
                <w:bCs/>
                <w:i/>
                <w:iCs/>
                <w:lang w:val="es-ES"/>
              </w:rPr>
              <w:sym w:font="Symbol" w:char="F06D"/>
            </w:r>
          </w:p>
        </w:tc>
        <w:tc>
          <w:tcPr>
            <w:tcW w:w="6600" w:type="dxa"/>
          </w:tcPr>
          <w:p w14:paraId="47A77B2B" w14:textId="77777777" w:rsidR="00830D59" w:rsidRDefault="00830D59">
            <w:pPr>
              <w:jc w:val="both"/>
              <w:rPr>
                <w:lang w:val="es-ES"/>
              </w:rPr>
            </w:pPr>
            <w:r>
              <w:rPr>
                <w:lang w:val="es-ES"/>
              </w:rPr>
              <w:t>Viscosidad del medio, en dynas*s/cm</w:t>
            </w:r>
            <w:r>
              <w:rPr>
                <w:vertAlign w:val="superscript"/>
                <w:lang w:val="es-ES"/>
              </w:rPr>
              <w:t>2</w:t>
            </w:r>
          </w:p>
        </w:tc>
      </w:tr>
    </w:tbl>
    <w:p w14:paraId="7AF61985" w14:textId="77777777" w:rsidR="00830D59" w:rsidRDefault="00830D59">
      <w:pPr>
        <w:autoSpaceDE w:val="0"/>
        <w:autoSpaceDN w:val="0"/>
        <w:adjustRightInd w:val="0"/>
        <w:spacing w:line="288" w:lineRule="auto"/>
        <w:jc w:val="both"/>
        <w:rPr>
          <w:lang w:val="es-ES"/>
        </w:rPr>
      </w:pPr>
    </w:p>
    <w:p w14:paraId="4E3DFB6D" w14:textId="77777777" w:rsidR="00830D59" w:rsidRDefault="00830D59">
      <w:pPr>
        <w:autoSpaceDE w:val="0"/>
        <w:autoSpaceDN w:val="0"/>
        <w:adjustRightInd w:val="0"/>
        <w:spacing w:line="288" w:lineRule="auto"/>
        <w:jc w:val="both"/>
        <w:rPr>
          <w:lang w:val="es-ES"/>
        </w:rPr>
      </w:pPr>
      <w:r>
        <w:rPr>
          <w:lang w:val="es-ES"/>
        </w:rPr>
        <w:t>Los separadores de placas coalescentes, refuerzan la separación por gravedad, utilizando las diferencias de densidad entre los componentes inmiscibles de las mezclas de líquidos a separar. La disposición y espaciado de las placas y el material de que están construidas, aumenta la eficiencia de la separación por gravedad.</w:t>
      </w:r>
    </w:p>
    <w:p w14:paraId="3AE36508" w14:textId="77777777" w:rsidR="00830D59" w:rsidRDefault="00830D59">
      <w:pPr>
        <w:autoSpaceDE w:val="0"/>
        <w:autoSpaceDN w:val="0"/>
        <w:adjustRightInd w:val="0"/>
        <w:spacing w:line="288" w:lineRule="auto"/>
        <w:jc w:val="both"/>
        <w:rPr>
          <w:lang w:val="es-ES"/>
        </w:rPr>
      </w:pPr>
    </w:p>
    <w:p w14:paraId="40A7B4FB" w14:textId="77777777" w:rsidR="00830D59" w:rsidRDefault="00830D59">
      <w:pPr>
        <w:pStyle w:val="Textoindependiente2"/>
        <w:autoSpaceDE w:val="0"/>
        <w:autoSpaceDN w:val="0"/>
        <w:adjustRightInd w:val="0"/>
        <w:spacing w:line="288" w:lineRule="auto"/>
      </w:pPr>
      <w:r>
        <w:t>La mezcla de agua e hidrocarburos pasa a la cámara de entrada, donde la separación empieza a producirse por gravedad. La mezcla pasa a continuación a la cámara de placas donde se realiza la separación, todas las gotas de hidrocarburos de diámetro superior a las 20 micras, se depositan por gravedad en la superficie oleofílica de las placas coalescentes. Como consecuencia de las variaciones de la velocidad del fluido, producidas por la forma sinusoidal y el espaciado de las placas, se provoca que el líquido se desplace con un flujo laminar que favorece la separación de los distintos líquidos que forman la mezcla. Al pasar entre las placas, las partículas de hidrocarburos de diámetro menor de 20 micras, chocan contra otras, formando gotas mayores que se separan por gravedad, quedando capturadas por las placas coalescentes. La forma sinusoidal de las placas, aumenta el numero de colisiones de las partículas de hidrocarburos con las placas. Los hidrocarburos capturados por las placas, ascienden a través de los orificios de las mismas al nivel superior, formando grandes gotas, hasta alcanzar la superficie, de donde son retirados por los skimmers (Desnatadores) y recogidos en la cámara de hidrocarburos.</w:t>
      </w:r>
    </w:p>
    <w:p w14:paraId="7CD6C930" w14:textId="77777777" w:rsidR="00830D59" w:rsidRDefault="00830D59">
      <w:pPr>
        <w:pStyle w:val="Textoindependiente2"/>
        <w:autoSpaceDE w:val="0"/>
        <w:autoSpaceDN w:val="0"/>
        <w:adjustRightInd w:val="0"/>
        <w:spacing w:line="288" w:lineRule="auto"/>
      </w:pPr>
    </w:p>
    <w:p w14:paraId="56F125A1" w14:textId="77777777" w:rsidR="00830D59" w:rsidRDefault="00830D59">
      <w:pPr>
        <w:pStyle w:val="Textoindependiente2"/>
        <w:autoSpaceDE w:val="0"/>
        <w:autoSpaceDN w:val="0"/>
        <w:adjustRightInd w:val="0"/>
        <w:spacing w:line="288" w:lineRule="auto"/>
      </w:pPr>
    </w:p>
    <w:p w14:paraId="7C3D809B" w14:textId="0A2E1D1F" w:rsidR="00830D59" w:rsidRDefault="007B49B4" w:rsidP="00515731">
      <w:pPr>
        <w:pStyle w:val="Textoindependiente2"/>
        <w:autoSpaceDE w:val="0"/>
        <w:autoSpaceDN w:val="0"/>
        <w:adjustRightInd w:val="0"/>
        <w:spacing w:line="288" w:lineRule="auto"/>
      </w:pPr>
      <w:r>
        <w:rPr>
          <w:noProof/>
        </w:rPr>
        <w:lastRenderedPageBreak/>
        <w:drawing>
          <wp:anchor distT="0" distB="0" distL="114300" distR="114300" simplePos="0" relativeHeight="251657728" behindDoc="0" locked="0" layoutInCell="1" allowOverlap="1" wp14:anchorId="565A8DA3" wp14:editId="449B057B">
            <wp:simplePos x="0" y="0"/>
            <wp:positionH relativeFrom="column">
              <wp:posOffset>304800</wp:posOffset>
            </wp:positionH>
            <wp:positionV relativeFrom="paragraph">
              <wp:posOffset>-2540</wp:posOffset>
            </wp:positionV>
            <wp:extent cx="4829175" cy="3448050"/>
            <wp:effectExtent l="0" t="0" r="0"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9175" cy="344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30D59">
        <w:t>Las aguas a tratar l</w:t>
      </w:r>
      <w:r w:rsidR="00515731">
        <w:t>l</w:t>
      </w:r>
      <w:r w:rsidR="00830D59">
        <w:t>egan a través del colector de efluentes, que se canalizan pasando a través de una sección de reja de desbaste emplazada en una arqueta de desbaste. Se dispone una válvula de by-pass que permite un acceso directo a la planta EDAR existente, by-pasando el nuevo proceso de separación de hidrocarburos</w:t>
      </w:r>
    </w:p>
    <w:p w14:paraId="5E7BA275" w14:textId="77777777" w:rsidR="00830D59" w:rsidRDefault="00830D59">
      <w:pPr>
        <w:pStyle w:val="Sangra2detindependiente"/>
        <w:keepNext/>
        <w:spacing w:line="288" w:lineRule="auto"/>
        <w:ind w:left="0"/>
        <w:jc w:val="both"/>
        <w:rPr>
          <w:lang w:val="es-ES"/>
        </w:rPr>
      </w:pPr>
      <w:r>
        <w:rPr>
          <w:lang w:val="es-ES"/>
        </w:rPr>
        <w:lastRenderedPageBreak/>
        <w:t xml:space="preserve">Las aguas discurren por gravedad a través de una canal con una compuerta de alivio regulable, que permite derivar los excedentes pluviales a la nueva pileta pulmón </w:t>
      </w:r>
    </w:p>
    <w:p w14:paraId="48144EED" w14:textId="77777777" w:rsidR="00830D59" w:rsidRDefault="00830D59" w:rsidP="00515731">
      <w:pPr>
        <w:pStyle w:val="Sangra2detindependiente"/>
        <w:keepNext/>
        <w:spacing w:line="288" w:lineRule="auto"/>
        <w:ind w:left="0"/>
        <w:jc w:val="both"/>
        <w:rPr>
          <w:lang w:val="es-ES"/>
        </w:rPr>
      </w:pPr>
      <w:r>
        <w:t xml:space="preserve">Desde este punto se reparten las aguas a dos secciones paralelas que incorporan cada una un equipo separador de hidrocarburos de tipo CPI (unidad lamelar) </w:t>
      </w:r>
    </w:p>
    <w:p w14:paraId="4E24AD91" w14:textId="77777777" w:rsidR="00830D59" w:rsidRDefault="00830D59">
      <w:pPr>
        <w:keepNext/>
        <w:tabs>
          <w:tab w:val="left" w:pos="-3150"/>
        </w:tabs>
        <w:spacing w:line="288" w:lineRule="auto"/>
        <w:jc w:val="both"/>
        <w:rPr>
          <w:lang w:val="es-ES"/>
        </w:rPr>
      </w:pPr>
      <w:r>
        <w:rPr>
          <w:lang w:val="es-ES"/>
        </w:rPr>
        <w:t>Las aguas clarificadas se colectan por gravedad en el depósito de agua clarific</w:t>
      </w:r>
      <w:r w:rsidR="00515731">
        <w:rPr>
          <w:lang w:val="es-ES"/>
        </w:rPr>
        <w:t>adas .</w:t>
      </w:r>
      <w:r>
        <w:rPr>
          <w:lang w:val="es-ES"/>
        </w:rPr>
        <w:t xml:space="preserve"> Los lodos decantados, se depositan en el fondo de los depósitos</w:t>
      </w:r>
      <w:r w:rsidR="00515731">
        <w:rPr>
          <w:lang w:val="es-ES"/>
        </w:rPr>
        <w:t>.</w:t>
      </w:r>
      <w:r>
        <w:rPr>
          <w:lang w:val="es-ES"/>
        </w:rPr>
        <w:t xml:space="preserve"> Los slops separados se colectan en un depósito de slops </w:t>
      </w:r>
      <w:r w:rsidR="00515731">
        <w:rPr>
          <w:lang w:val="es-ES"/>
        </w:rPr>
        <w:t>.</w:t>
      </w:r>
    </w:p>
    <w:p w14:paraId="70237AD9" w14:textId="77777777" w:rsidR="00830D59" w:rsidRDefault="00830D59">
      <w:pPr>
        <w:keepNext/>
        <w:tabs>
          <w:tab w:val="left" w:pos="-3150"/>
        </w:tabs>
        <w:spacing w:line="288" w:lineRule="auto"/>
        <w:jc w:val="both"/>
        <w:rPr>
          <w:lang w:val="es-ES"/>
        </w:rPr>
      </w:pPr>
      <w:r>
        <w:rPr>
          <w:lang w:val="es-ES"/>
        </w:rPr>
        <w:t xml:space="preserve">Los lodos acumulados se bombean desde los depósitos mediante las bombas neumáticas a la arqueta de lodos químicos. Esta línea dispone de un sistema de barrido por vapor, para fluidificación de taponamientos posibles.  </w:t>
      </w:r>
    </w:p>
    <w:p w14:paraId="1C2CDB9C" w14:textId="77777777" w:rsidR="00830D59" w:rsidRDefault="00830D59">
      <w:pPr>
        <w:keepNext/>
        <w:tabs>
          <w:tab w:val="left" w:pos="-3150"/>
        </w:tabs>
        <w:spacing w:line="288" w:lineRule="auto"/>
        <w:jc w:val="both"/>
        <w:rPr>
          <w:lang w:val="es-ES"/>
        </w:rPr>
      </w:pPr>
      <w:r>
        <w:rPr>
          <w:lang w:val="es-ES"/>
        </w:rPr>
        <w:t xml:space="preserve">Los slops acumulados se bombean desde el depósitos mediante las bombas  a la arqueta de slops de la planta </w:t>
      </w:r>
    </w:p>
    <w:p w14:paraId="7FF19E0D" w14:textId="77777777" w:rsidR="00830D59" w:rsidRDefault="00830D59">
      <w:pPr>
        <w:pStyle w:val="Sangra2detindependiente"/>
        <w:keepNext/>
        <w:tabs>
          <w:tab w:val="left" w:pos="1080"/>
        </w:tabs>
        <w:spacing w:line="288" w:lineRule="auto"/>
        <w:ind w:left="0"/>
        <w:jc w:val="both"/>
        <w:rPr>
          <w:lang w:val="es-ES"/>
        </w:rPr>
      </w:pPr>
      <w:r>
        <w:rPr>
          <w:lang w:val="es-ES"/>
        </w:rPr>
        <w:t>Los datos de diseño son los siguientes, para cada CPI:</w:t>
      </w:r>
    </w:p>
    <w:p w14:paraId="73494345" w14:textId="77777777" w:rsidR="00830D59" w:rsidRDefault="00830D59">
      <w:pPr>
        <w:pStyle w:val="Sangra2detindependiente"/>
        <w:keepNext/>
        <w:tabs>
          <w:tab w:val="left" w:pos="1080"/>
        </w:tabs>
        <w:spacing w:line="288" w:lineRule="auto"/>
        <w:ind w:left="0"/>
        <w:jc w:val="both"/>
        <w:rPr>
          <w:lang w:val="es-ES"/>
        </w:rPr>
      </w:pPr>
    </w:p>
    <w:tbl>
      <w:tblPr>
        <w:tblW w:w="0" w:type="auto"/>
        <w:tblInd w:w="720" w:type="dxa"/>
        <w:tblCellMar>
          <w:left w:w="70" w:type="dxa"/>
          <w:right w:w="70" w:type="dxa"/>
        </w:tblCellMar>
        <w:tblLook w:val="0000" w:firstRow="0" w:lastRow="0" w:firstColumn="0" w:lastColumn="0" w:noHBand="0" w:noVBand="0"/>
      </w:tblPr>
      <w:tblGrid>
        <w:gridCol w:w="3954"/>
        <w:gridCol w:w="3831"/>
      </w:tblGrid>
      <w:tr w:rsidR="00830D59" w14:paraId="6ED54947" w14:textId="77777777">
        <w:tblPrEx>
          <w:tblCellMar>
            <w:top w:w="0" w:type="dxa"/>
            <w:bottom w:w="0" w:type="dxa"/>
          </w:tblCellMar>
        </w:tblPrEx>
        <w:tc>
          <w:tcPr>
            <w:tcW w:w="4014" w:type="dxa"/>
          </w:tcPr>
          <w:p w14:paraId="5CA6934B" w14:textId="77777777" w:rsidR="00830D59" w:rsidRDefault="00830D59">
            <w:pPr>
              <w:keepNext/>
              <w:tabs>
                <w:tab w:val="left" w:pos="1080"/>
              </w:tabs>
              <w:spacing w:line="288" w:lineRule="auto"/>
              <w:jc w:val="both"/>
              <w:rPr>
                <w:lang w:val="es-ES"/>
              </w:rPr>
            </w:pPr>
            <w:r>
              <w:rPr>
                <w:lang w:val="es-ES"/>
              </w:rPr>
              <w:t>Caudal en régimen seco</w:t>
            </w:r>
          </w:p>
        </w:tc>
        <w:tc>
          <w:tcPr>
            <w:tcW w:w="3911" w:type="dxa"/>
          </w:tcPr>
          <w:p w14:paraId="7D6D8D5E" w14:textId="77777777" w:rsidR="00830D59" w:rsidRDefault="00830D59">
            <w:pPr>
              <w:keepNext/>
              <w:tabs>
                <w:tab w:val="left" w:pos="1080"/>
              </w:tabs>
              <w:spacing w:line="288" w:lineRule="auto"/>
              <w:jc w:val="center"/>
              <w:rPr>
                <w:lang w:val="es-ES"/>
              </w:rPr>
            </w:pPr>
            <w:r>
              <w:rPr>
                <w:lang w:val="es-ES"/>
              </w:rPr>
              <w:t>260 m</w:t>
            </w:r>
            <w:r>
              <w:rPr>
                <w:vertAlign w:val="superscript"/>
                <w:lang w:val="es-ES"/>
              </w:rPr>
              <w:t>3</w:t>
            </w:r>
            <w:r>
              <w:rPr>
                <w:lang w:val="es-ES"/>
              </w:rPr>
              <w:t>/h</w:t>
            </w:r>
          </w:p>
        </w:tc>
      </w:tr>
      <w:tr w:rsidR="00830D59" w14:paraId="16EE6B97" w14:textId="77777777">
        <w:tblPrEx>
          <w:tblCellMar>
            <w:top w:w="0" w:type="dxa"/>
            <w:bottom w:w="0" w:type="dxa"/>
          </w:tblCellMar>
        </w:tblPrEx>
        <w:tc>
          <w:tcPr>
            <w:tcW w:w="4014" w:type="dxa"/>
          </w:tcPr>
          <w:p w14:paraId="07692BFF" w14:textId="77777777" w:rsidR="00830D59" w:rsidRDefault="00830D59">
            <w:pPr>
              <w:keepNext/>
              <w:tabs>
                <w:tab w:val="left" w:pos="1080"/>
              </w:tabs>
              <w:spacing w:line="288" w:lineRule="auto"/>
              <w:jc w:val="both"/>
              <w:rPr>
                <w:lang w:val="es-ES"/>
              </w:rPr>
            </w:pPr>
            <w:r>
              <w:rPr>
                <w:lang w:val="es-ES"/>
              </w:rPr>
              <w:t>Caudal en régimen de recuperación de pluviales</w:t>
            </w:r>
          </w:p>
        </w:tc>
        <w:tc>
          <w:tcPr>
            <w:tcW w:w="3911" w:type="dxa"/>
          </w:tcPr>
          <w:p w14:paraId="68C98B35" w14:textId="77777777" w:rsidR="00830D59" w:rsidRDefault="00830D59">
            <w:pPr>
              <w:keepNext/>
              <w:tabs>
                <w:tab w:val="left" w:pos="1080"/>
              </w:tabs>
              <w:spacing w:line="288" w:lineRule="auto"/>
              <w:jc w:val="center"/>
              <w:rPr>
                <w:lang w:val="es-ES"/>
              </w:rPr>
            </w:pPr>
            <w:r>
              <w:rPr>
                <w:lang w:val="es-ES"/>
              </w:rPr>
              <w:t>360 m</w:t>
            </w:r>
            <w:r>
              <w:rPr>
                <w:vertAlign w:val="superscript"/>
                <w:lang w:val="es-ES"/>
              </w:rPr>
              <w:t>3</w:t>
            </w:r>
            <w:r>
              <w:rPr>
                <w:lang w:val="es-ES"/>
              </w:rPr>
              <w:t>/h</w:t>
            </w:r>
          </w:p>
        </w:tc>
      </w:tr>
      <w:tr w:rsidR="00830D59" w14:paraId="66BF78B4" w14:textId="77777777">
        <w:tblPrEx>
          <w:tblCellMar>
            <w:top w:w="0" w:type="dxa"/>
            <w:bottom w:w="0" w:type="dxa"/>
          </w:tblCellMar>
        </w:tblPrEx>
        <w:tc>
          <w:tcPr>
            <w:tcW w:w="4014" w:type="dxa"/>
          </w:tcPr>
          <w:p w14:paraId="53A23295" w14:textId="77777777" w:rsidR="00830D59" w:rsidRDefault="00830D59">
            <w:pPr>
              <w:keepNext/>
              <w:tabs>
                <w:tab w:val="left" w:pos="1080"/>
              </w:tabs>
              <w:spacing w:line="288" w:lineRule="auto"/>
              <w:jc w:val="both"/>
              <w:rPr>
                <w:lang w:val="es-ES"/>
              </w:rPr>
            </w:pPr>
            <w:r>
              <w:rPr>
                <w:lang w:val="es-ES"/>
              </w:rPr>
              <w:t>Hidrocarburos a la entrada</w:t>
            </w:r>
          </w:p>
        </w:tc>
        <w:tc>
          <w:tcPr>
            <w:tcW w:w="3911" w:type="dxa"/>
          </w:tcPr>
          <w:p w14:paraId="107B56D9" w14:textId="77777777" w:rsidR="00830D59" w:rsidRDefault="00830D59">
            <w:pPr>
              <w:keepNext/>
              <w:tabs>
                <w:tab w:val="left" w:pos="1080"/>
              </w:tabs>
              <w:spacing w:line="288" w:lineRule="auto"/>
              <w:jc w:val="center"/>
              <w:rPr>
                <w:lang w:val="es-ES"/>
              </w:rPr>
            </w:pPr>
            <w:r>
              <w:rPr>
                <w:lang w:val="es-ES"/>
              </w:rPr>
              <w:t>3 – 5%</w:t>
            </w:r>
          </w:p>
        </w:tc>
      </w:tr>
      <w:tr w:rsidR="00830D59" w14:paraId="0CFF49A3" w14:textId="77777777">
        <w:tblPrEx>
          <w:tblCellMar>
            <w:top w:w="0" w:type="dxa"/>
            <w:bottom w:w="0" w:type="dxa"/>
          </w:tblCellMar>
        </w:tblPrEx>
        <w:tc>
          <w:tcPr>
            <w:tcW w:w="4014" w:type="dxa"/>
          </w:tcPr>
          <w:p w14:paraId="5A86823B" w14:textId="77777777" w:rsidR="00830D59" w:rsidRDefault="00830D59">
            <w:pPr>
              <w:keepNext/>
              <w:tabs>
                <w:tab w:val="left" w:pos="1080"/>
              </w:tabs>
              <w:spacing w:line="288" w:lineRule="auto"/>
              <w:jc w:val="both"/>
              <w:rPr>
                <w:lang w:val="es-ES"/>
              </w:rPr>
            </w:pPr>
            <w:r>
              <w:rPr>
                <w:lang w:val="es-ES"/>
              </w:rPr>
              <w:t>Hidrocarburos a la salida</w:t>
            </w:r>
          </w:p>
        </w:tc>
        <w:tc>
          <w:tcPr>
            <w:tcW w:w="3911" w:type="dxa"/>
          </w:tcPr>
          <w:p w14:paraId="753F0066" w14:textId="77777777" w:rsidR="00830D59" w:rsidRDefault="00830D59">
            <w:pPr>
              <w:keepNext/>
              <w:tabs>
                <w:tab w:val="left" w:pos="1080"/>
              </w:tabs>
              <w:spacing w:line="288" w:lineRule="auto"/>
              <w:jc w:val="center"/>
              <w:rPr>
                <w:lang w:val="es-ES"/>
              </w:rPr>
            </w:pPr>
            <w:r>
              <w:rPr>
                <w:lang w:val="es-ES"/>
              </w:rPr>
              <w:t>100 - 300 ppm</w:t>
            </w:r>
          </w:p>
        </w:tc>
      </w:tr>
      <w:tr w:rsidR="00830D59" w14:paraId="1248CAE8" w14:textId="77777777">
        <w:tblPrEx>
          <w:tblCellMar>
            <w:top w:w="0" w:type="dxa"/>
            <w:bottom w:w="0" w:type="dxa"/>
          </w:tblCellMar>
        </w:tblPrEx>
        <w:tc>
          <w:tcPr>
            <w:tcW w:w="4014" w:type="dxa"/>
          </w:tcPr>
          <w:p w14:paraId="38B89A01" w14:textId="77777777" w:rsidR="00830D59" w:rsidRDefault="00830D59">
            <w:pPr>
              <w:keepNext/>
              <w:tabs>
                <w:tab w:val="left" w:pos="1080"/>
              </w:tabs>
              <w:spacing w:line="288" w:lineRule="auto"/>
              <w:jc w:val="both"/>
              <w:rPr>
                <w:lang w:val="es-ES"/>
              </w:rPr>
            </w:pPr>
            <w:r>
              <w:rPr>
                <w:lang w:val="es-ES"/>
              </w:rPr>
              <w:t>Sólidos totales a la entrada</w:t>
            </w:r>
          </w:p>
        </w:tc>
        <w:tc>
          <w:tcPr>
            <w:tcW w:w="3911" w:type="dxa"/>
          </w:tcPr>
          <w:p w14:paraId="1CF8DD26" w14:textId="77777777" w:rsidR="00830D59" w:rsidRDefault="00830D59">
            <w:pPr>
              <w:keepNext/>
              <w:tabs>
                <w:tab w:val="left" w:pos="1080"/>
              </w:tabs>
              <w:spacing w:line="288" w:lineRule="auto"/>
              <w:jc w:val="center"/>
              <w:rPr>
                <w:lang w:val="es-ES"/>
              </w:rPr>
            </w:pPr>
            <w:r>
              <w:rPr>
                <w:lang w:val="es-ES"/>
              </w:rPr>
              <w:t>48 – 230 ppm</w:t>
            </w:r>
          </w:p>
        </w:tc>
      </w:tr>
    </w:tbl>
    <w:p w14:paraId="0D9CE06E" w14:textId="4C826A07" w:rsidR="00830D59" w:rsidRPr="00BD237C" w:rsidRDefault="007B49B4">
      <w:pPr>
        <w:keepNext/>
        <w:spacing w:line="288" w:lineRule="auto"/>
        <w:jc w:val="both"/>
        <w:rPr>
          <w:lang w:val="es-ES"/>
        </w:rPr>
      </w:pPr>
      <w:r w:rsidRPr="00BD237C">
        <w:rPr>
          <w:noProof/>
          <w:lang w:val="es-ES"/>
        </w:rPr>
        <w:drawing>
          <wp:inline distT="0" distB="0" distL="0" distR="0" wp14:anchorId="18A973B4" wp14:editId="0C44F547">
            <wp:extent cx="6105525" cy="4581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4581525"/>
                    </a:xfrm>
                    <a:prstGeom prst="rect">
                      <a:avLst/>
                    </a:prstGeom>
                    <a:noFill/>
                    <a:ln>
                      <a:noFill/>
                    </a:ln>
                  </pic:spPr>
                </pic:pic>
              </a:graphicData>
            </a:graphic>
          </wp:inline>
        </w:drawing>
      </w:r>
    </w:p>
    <w:sectPr w:rsidR="00830D59" w:rsidRPr="00BD237C">
      <w:pgSz w:w="11907" w:h="16840" w:code="9"/>
      <w:pgMar w:top="1418" w:right="1701" w:bottom="85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B6B7E" w14:textId="77777777" w:rsidR="00E05F5C" w:rsidRDefault="00E05F5C">
      <w:r>
        <w:separator/>
      </w:r>
    </w:p>
  </w:endnote>
  <w:endnote w:type="continuationSeparator" w:id="0">
    <w:p w14:paraId="04356BFD" w14:textId="77777777" w:rsidR="00E05F5C" w:rsidRDefault="00E0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D151B" w14:textId="77777777" w:rsidR="00E05F5C" w:rsidRDefault="00E05F5C">
      <w:r>
        <w:separator/>
      </w:r>
    </w:p>
  </w:footnote>
  <w:footnote w:type="continuationSeparator" w:id="0">
    <w:p w14:paraId="39768845" w14:textId="77777777" w:rsidR="00E05F5C" w:rsidRDefault="00E05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05184"/>
    <w:multiLevelType w:val="hybridMultilevel"/>
    <w:tmpl w:val="F5763948"/>
    <w:lvl w:ilvl="0" w:tplc="78887958">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2F565D"/>
    <w:multiLevelType w:val="hybridMultilevel"/>
    <w:tmpl w:val="F6F841C2"/>
    <w:lvl w:ilvl="0" w:tplc="78887958">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485434222">
    <w:abstractNumId w:val="1"/>
  </w:num>
  <w:num w:numId="2" w16cid:durableId="206749200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59"/>
    <w:rsid w:val="00226FAE"/>
    <w:rsid w:val="00515731"/>
    <w:rsid w:val="007B49B4"/>
    <w:rsid w:val="00830D59"/>
    <w:rsid w:val="00BD237C"/>
    <w:rsid w:val="00E05F5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374ED"/>
  <w15:chartTrackingRefBased/>
  <w15:docId w15:val="{3C9EC04C-7F9A-4CB4-82DE-E7B52CDB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ca-ES" w:eastAsia="es-ES"/>
    </w:rPr>
  </w:style>
  <w:style w:type="paragraph" w:styleId="Ttulo1">
    <w:name w:val="heading 1"/>
    <w:basedOn w:val="Normal"/>
    <w:next w:val="Normal"/>
    <w:qFormat/>
    <w:pPr>
      <w:keepNext/>
      <w:ind w:left="705"/>
      <w:outlineLvl w:val="0"/>
    </w:pPr>
    <w:rPr>
      <w:b/>
      <w:sz w:val="30"/>
      <w:lang w:val="es-ES"/>
    </w:rPr>
  </w:style>
  <w:style w:type="paragraph" w:styleId="Ttulo2">
    <w:name w:val="heading 2"/>
    <w:basedOn w:val="Normal"/>
    <w:next w:val="Normal"/>
    <w:qFormat/>
    <w:pPr>
      <w:keepNext/>
      <w:outlineLvl w:val="1"/>
    </w:pPr>
    <w:rPr>
      <w:b/>
      <w:i/>
    </w:rPr>
  </w:style>
  <w:style w:type="paragraph" w:styleId="Ttulo3">
    <w:name w:val="heading 3"/>
    <w:basedOn w:val="Normal"/>
    <w:next w:val="Normal"/>
    <w:qFormat/>
    <w:pPr>
      <w:keepNext/>
      <w:ind w:left="705"/>
      <w:outlineLvl w:val="2"/>
    </w:pPr>
    <w:rPr>
      <w:b/>
      <w:lang w:val="es-ES"/>
    </w:rPr>
  </w:style>
  <w:style w:type="paragraph" w:styleId="Ttulo4">
    <w:name w:val="heading 4"/>
    <w:basedOn w:val="Normal"/>
    <w:next w:val="Normal"/>
    <w:qFormat/>
    <w:pPr>
      <w:keepNext/>
      <w:outlineLvl w:val="3"/>
    </w:pPr>
    <w:rPr>
      <w:b/>
      <w:lang w:val="es-ES"/>
    </w:rPr>
  </w:style>
  <w:style w:type="paragraph" w:styleId="Ttulo5">
    <w:name w:val="heading 5"/>
    <w:basedOn w:val="Normal"/>
    <w:next w:val="Normal"/>
    <w:qFormat/>
    <w:pPr>
      <w:keepNext/>
      <w:outlineLvl w:val="4"/>
    </w:pPr>
    <w:rPr>
      <w:b/>
      <w:sz w:val="36"/>
      <w:lang w:val="es-ES"/>
    </w:rPr>
  </w:style>
  <w:style w:type="paragraph" w:styleId="Ttulo6">
    <w:name w:val="heading 6"/>
    <w:basedOn w:val="Normal"/>
    <w:next w:val="Normal"/>
    <w:qFormat/>
    <w:pPr>
      <w:keepNext/>
      <w:outlineLvl w:val="5"/>
    </w:pPr>
    <w:rPr>
      <w:b/>
      <w:color w:val="FF0000"/>
      <w:lang w:val="es-ES_tradnl"/>
    </w:rPr>
  </w:style>
  <w:style w:type="paragraph" w:styleId="Ttulo7">
    <w:name w:val="heading 7"/>
    <w:basedOn w:val="Normal"/>
    <w:next w:val="Normal"/>
    <w:qFormat/>
    <w:pPr>
      <w:keepNext/>
      <w:outlineLvl w:val="6"/>
    </w:pPr>
    <w:rPr>
      <w:b/>
      <w:u w:val="single"/>
      <w:lang w:val="es-ES_tradnl"/>
    </w:rPr>
  </w:style>
  <w:style w:type="paragraph" w:styleId="Ttulo8">
    <w:name w:val="heading 8"/>
    <w:basedOn w:val="Normal"/>
    <w:next w:val="Normal"/>
    <w:qFormat/>
    <w:pPr>
      <w:keepNext/>
      <w:outlineLvl w:val="7"/>
    </w:pPr>
    <w:rPr>
      <w:sz w:val="32"/>
      <w:lang w:val="es-ES_tradnl"/>
    </w:rPr>
  </w:style>
  <w:style w:type="paragraph" w:styleId="Ttulo9">
    <w:name w:val="heading 9"/>
    <w:basedOn w:val="Normal"/>
    <w:next w:val="Normal"/>
    <w:qFormat/>
    <w:pPr>
      <w:keepNext/>
      <w:outlineLvl w:val="8"/>
    </w:pPr>
    <w:rPr>
      <w:b/>
      <w:i/>
      <w:u w:val="single"/>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252"/>
        <w:tab w:val="right" w:pos="8504"/>
      </w:tabs>
    </w:pPr>
    <w:rPr>
      <w:rFonts w:ascii="Univers (W1)" w:hAnsi="Univers (W1)"/>
      <w:lang w:val="es-ES_tradnl"/>
    </w:rPr>
  </w:style>
  <w:style w:type="paragraph" w:styleId="Sangradetextonormal">
    <w:name w:val="Body Text Indent"/>
    <w:basedOn w:val="Normal"/>
    <w:pPr>
      <w:ind w:left="530" w:hanging="530"/>
    </w:pPr>
    <w:rPr>
      <w:lang w:val="es-ES_tradnl"/>
    </w:rPr>
  </w:style>
  <w:style w:type="paragraph" w:styleId="Piedepgina">
    <w:name w:val="footer"/>
    <w:basedOn w:val="Normal"/>
    <w:pPr>
      <w:tabs>
        <w:tab w:val="center" w:pos="4252"/>
        <w:tab w:val="right" w:pos="8504"/>
      </w:tabs>
    </w:pPr>
  </w:style>
  <w:style w:type="paragraph" w:styleId="Sangra2detindependiente">
    <w:name w:val="Body Text Indent 2"/>
    <w:basedOn w:val="Normal"/>
    <w:pPr>
      <w:ind w:left="1416"/>
    </w:pPr>
    <w:rPr>
      <w:bCs/>
      <w:lang w:val="es-ES_tradnl"/>
    </w:rPr>
  </w:style>
  <w:style w:type="paragraph" w:styleId="Textonotapie">
    <w:name w:val="footnote text"/>
    <w:basedOn w:val="Normal"/>
    <w:semiHidden/>
    <w:rPr>
      <w:sz w:val="20"/>
    </w:rPr>
  </w:style>
  <w:style w:type="character" w:styleId="Refdenotaalpie">
    <w:name w:val="footnote reference"/>
    <w:basedOn w:val="Fuentedeprrafopredeter"/>
    <w:semiHidden/>
    <w:rPr>
      <w:vertAlign w:val="superscript"/>
    </w:rPr>
  </w:style>
  <w:style w:type="paragraph" w:styleId="Textoindependiente">
    <w:name w:val="Body Text"/>
    <w:basedOn w:val="Normal"/>
    <w:rPr>
      <w:color w:val="FF0000"/>
      <w:lang w:val="es-ES"/>
    </w:rPr>
  </w:style>
  <w:style w:type="paragraph" w:styleId="Textoindependiente2">
    <w:name w:val="Body Text 2"/>
    <w:basedOn w:val="Normal"/>
    <w:pPr>
      <w:jc w:val="both"/>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590</Words>
  <Characters>3250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LISTA DE EQUIPOS</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DE EQUIPOS</dc:title>
  <dc:subject/>
  <dc:creator>Alberto</dc:creator>
  <cp:keywords/>
  <dc:description/>
  <cp:lastModifiedBy>daniel _</cp:lastModifiedBy>
  <cp:revision>2</cp:revision>
  <cp:lastPrinted>2004-03-24T21:16:00Z</cp:lastPrinted>
  <dcterms:created xsi:type="dcterms:W3CDTF">2022-11-11T04:06:00Z</dcterms:created>
  <dcterms:modified xsi:type="dcterms:W3CDTF">2022-11-11T04:06:00Z</dcterms:modified>
</cp:coreProperties>
</file>