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pPr w:leftFromText="141" w:rightFromText="141" w:vertAnchor="text" w:horzAnchor="margin" w:tblpXSpec="center" w:tblpY="-29"/>
        <w:tblOverlap w:val="never"/>
        <w:tblW w:w="0" w:type="auto"/>
        <w:tblLook w:val="04A0" w:firstRow="1" w:lastRow="0" w:firstColumn="1" w:lastColumn="0" w:noHBand="0" w:noVBand="1"/>
      </w:tblPr>
      <w:tblGrid>
        <w:gridCol w:w="4247"/>
      </w:tblGrid>
      <w:tr w:rsidR="00E84CCE" w14:paraId="699E1453" w14:textId="77777777" w:rsidTr="00E84CCE">
        <w:tc>
          <w:tcPr>
            <w:tcW w:w="4247" w:type="dxa"/>
          </w:tcPr>
          <w:p w14:paraId="4CA14F3D" w14:textId="5D2AF677" w:rsidR="00E84CCE" w:rsidRDefault="00E84CCE" w:rsidP="00E84CCE">
            <w:pPr>
              <w:jc w:val="center"/>
              <w:rPr>
                <w:rFonts w:cstheme="minorHAnsi"/>
                <w:b/>
                <w:bCs/>
                <w:sz w:val="24"/>
                <w:szCs w:val="24"/>
              </w:rPr>
            </w:pPr>
            <w:r>
              <w:rPr>
                <w:rFonts w:cstheme="minorHAnsi"/>
                <w:b/>
                <w:bCs/>
                <w:sz w:val="24"/>
                <w:szCs w:val="24"/>
              </w:rPr>
              <w:t>Grupo 1</w:t>
            </w:r>
          </w:p>
        </w:tc>
      </w:tr>
      <w:tr w:rsidR="00E84CCE" w14:paraId="66CE280D" w14:textId="77777777" w:rsidTr="00E84CCE">
        <w:tc>
          <w:tcPr>
            <w:tcW w:w="4247" w:type="dxa"/>
          </w:tcPr>
          <w:p w14:paraId="61C89377" w14:textId="2785DDFB" w:rsidR="00E84CCE" w:rsidRPr="00E84CCE" w:rsidRDefault="00E84CCE" w:rsidP="00E84CCE">
            <w:pPr>
              <w:rPr>
                <w:rFonts w:cstheme="minorHAnsi"/>
                <w:sz w:val="24"/>
                <w:szCs w:val="24"/>
              </w:rPr>
            </w:pPr>
            <w:r>
              <w:rPr>
                <w:rFonts w:cstheme="minorHAnsi"/>
                <w:b/>
                <w:bCs/>
                <w:sz w:val="24"/>
                <w:szCs w:val="24"/>
              </w:rPr>
              <w:t>Empresa:</w:t>
            </w:r>
            <w:r>
              <w:rPr>
                <w:rFonts w:cstheme="minorHAnsi"/>
                <w:sz w:val="24"/>
                <w:szCs w:val="24"/>
              </w:rPr>
              <w:t xml:space="preserve"> IMPSA</w:t>
            </w:r>
          </w:p>
        </w:tc>
      </w:tr>
      <w:tr w:rsidR="00E84CCE" w14:paraId="02181D39" w14:textId="77777777" w:rsidTr="00E84CCE">
        <w:tc>
          <w:tcPr>
            <w:tcW w:w="4247" w:type="dxa"/>
          </w:tcPr>
          <w:p w14:paraId="707E9D20" w14:textId="3DD9548D" w:rsidR="00E84CCE" w:rsidRPr="00E84CCE" w:rsidRDefault="00E84CCE" w:rsidP="00E84CCE">
            <w:pPr>
              <w:rPr>
                <w:rFonts w:cstheme="minorHAnsi"/>
                <w:sz w:val="24"/>
                <w:szCs w:val="24"/>
              </w:rPr>
            </w:pPr>
            <w:r>
              <w:rPr>
                <w:rFonts w:cstheme="minorHAnsi"/>
                <w:sz w:val="24"/>
                <w:szCs w:val="24"/>
              </w:rPr>
              <w:t xml:space="preserve">La Motta Franco </w:t>
            </w:r>
          </w:p>
        </w:tc>
      </w:tr>
      <w:tr w:rsidR="00E84CCE" w14:paraId="1420D343" w14:textId="77777777" w:rsidTr="00E84CCE">
        <w:tc>
          <w:tcPr>
            <w:tcW w:w="4247" w:type="dxa"/>
          </w:tcPr>
          <w:p w14:paraId="7225BA84" w14:textId="414AF907" w:rsidR="00E84CCE" w:rsidRPr="00E84CCE" w:rsidRDefault="00E84CCE" w:rsidP="00E84CCE">
            <w:pPr>
              <w:rPr>
                <w:rFonts w:cstheme="minorHAnsi"/>
                <w:sz w:val="24"/>
                <w:szCs w:val="24"/>
              </w:rPr>
            </w:pPr>
            <w:proofErr w:type="spellStart"/>
            <w:r>
              <w:rPr>
                <w:rFonts w:cstheme="minorHAnsi"/>
                <w:sz w:val="24"/>
                <w:szCs w:val="24"/>
              </w:rPr>
              <w:t>Torresi</w:t>
            </w:r>
            <w:proofErr w:type="spellEnd"/>
            <w:r>
              <w:rPr>
                <w:rFonts w:cstheme="minorHAnsi"/>
                <w:sz w:val="24"/>
                <w:szCs w:val="24"/>
              </w:rPr>
              <w:t xml:space="preserve"> Carla</w:t>
            </w:r>
          </w:p>
        </w:tc>
      </w:tr>
      <w:tr w:rsidR="00E84CCE" w14:paraId="428FE294" w14:textId="77777777" w:rsidTr="00E84CCE">
        <w:tc>
          <w:tcPr>
            <w:tcW w:w="4247" w:type="dxa"/>
          </w:tcPr>
          <w:p w14:paraId="4A555D8C" w14:textId="368A9E22" w:rsidR="00E84CCE" w:rsidRPr="00E84CCE" w:rsidRDefault="00E84CCE" w:rsidP="00E84CCE">
            <w:pPr>
              <w:rPr>
                <w:rFonts w:cstheme="minorHAnsi"/>
                <w:sz w:val="24"/>
                <w:szCs w:val="24"/>
              </w:rPr>
            </w:pPr>
            <w:r>
              <w:rPr>
                <w:rFonts w:cstheme="minorHAnsi"/>
                <w:sz w:val="24"/>
                <w:szCs w:val="24"/>
              </w:rPr>
              <w:t>Cabrera Tomás</w:t>
            </w:r>
          </w:p>
        </w:tc>
      </w:tr>
      <w:tr w:rsidR="00E84CCE" w14:paraId="0CC26C92" w14:textId="77777777" w:rsidTr="00E84CCE">
        <w:tc>
          <w:tcPr>
            <w:tcW w:w="4247" w:type="dxa"/>
          </w:tcPr>
          <w:p w14:paraId="24F41804" w14:textId="6B487EB4" w:rsidR="00E84CCE" w:rsidRPr="00E84CCE" w:rsidRDefault="00E84CCE" w:rsidP="00E84CCE">
            <w:pPr>
              <w:rPr>
                <w:rFonts w:cstheme="minorHAnsi"/>
                <w:sz w:val="24"/>
                <w:szCs w:val="24"/>
              </w:rPr>
            </w:pPr>
            <w:proofErr w:type="spellStart"/>
            <w:r>
              <w:rPr>
                <w:rFonts w:cstheme="minorHAnsi"/>
                <w:sz w:val="24"/>
                <w:szCs w:val="24"/>
              </w:rPr>
              <w:t>Valli</w:t>
            </w:r>
            <w:proofErr w:type="spellEnd"/>
            <w:r>
              <w:rPr>
                <w:rFonts w:cstheme="minorHAnsi"/>
                <w:sz w:val="24"/>
                <w:szCs w:val="24"/>
              </w:rPr>
              <w:t xml:space="preserve"> </w:t>
            </w:r>
            <w:proofErr w:type="spellStart"/>
            <w:r>
              <w:rPr>
                <w:rFonts w:cstheme="minorHAnsi"/>
                <w:sz w:val="24"/>
                <w:szCs w:val="24"/>
              </w:rPr>
              <w:t>Karima</w:t>
            </w:r>
            <w:proofErr w:type="spellEnd"/>
          </w:p>
        </w:tc>
      </w:tr>
      <w:tr w:rsidR="00E84CCE" w14:paraId="5B45717A" w14:textId="77777777" w:rsidTr="00E84CCE">
        <w:tc>
          <w:tcPr>
            <w:tcW w:w="4247" w:type="dxa"/>
          </w:tcPr>
          <w:p w14:paraId="19CBE1AD" w14:textId="07FE3238" w:rsidR="00E84CCE" w:rsidRPr="00E84CCE" w:rsidRDefault="00E84CCE" w:rsidP="00E84CCE">
            <w:pPr>
              <w:rPr>
                <w:rFonts w:cstheme="minorHAnsi"/>
                <w:sz w:val="24"/>
                <w:szCs w:val="24"/>
              </w:rPr>
            </w:pPr>
            <w:r>
              <w:rPr>
                <w:rFonts w:cstheme="minorHAnsi"/>
                <w:sz w:val="24"/>
                <w:szCs w:val="24"/>
              </w:rPr>
              <w:t>Aliaga Tomás</w:t>
            </w:r>
          </w:p>
        </w:tc>
      </w:tr>
    </w:tbl>
    <w:p w14:paraId="443C5D2A" w14:textId="6CD5CFEE" w:rsidR="00E84CCE" w:rsidRDefault="00E84CCE" w:rsidP="00E84CCE">
      <w:pPr>
        <w:rPr>
          <w:rFonts w:cstheme="minorHAnsi"/>
          <w:b/>
          <w:bCs/>
          <w:sz w:val="24"/>
          <w:szCs w:val="24"/>
        </w:rPr>
      </w:pPr>
      <w:r>
        <w:rPr>
          <w:rFonts w:cstheme="minorHAnsi"/>
          <w:b/>
          <w:bCs/>
          <w:sz w:val="24"/>
          <w:szCs w:val="24"/>
        </w:rPr>
        <w:br w:type="textWrapping" w:clear="all"/>
      </w:r>
    </w:p>
    <w:p w14:paraId="2FC8F93A" w14:textId="6F5C552C" w:rsidR="00620194" w:rsidRPr="006436E2" w:rsidRDefault="00813D05">
      <w:pPr>
        <w:rPr>
          <w:rFonts w:cstheme="minorHAnsi"/>
          <w:b/>
          <w:bCs/>
          <w:sz w:val="24"/>
          <w:szCs w:val="24"/>
        </w:rPr>
      </w:pPr>
      <w:r w:rsidRPr="006436E2">
        <w:rPr>
          <w:rFonts w:cstheme="minorHAnsi"/>
          <w:b/>
          <w:bCs/>
          <w:sz w:val="24"/>
          <w:szCs w:val="24"/>
        </w:rPr>
        <w:t>Responsabilidad Moral</w:t>
      </w:r>
    </w:p>
    <w:p w14:paraId="4EF14D9B" w14:textId="42B6DECB" w:rsidR="00620194" w:rsidRPr="006436E2" w:rsidRDefault="00620194">
      <w:pPr>
        <w:rPr>
          <w:rFonts w:cstheme="minorHAnsi"/>
        </w:rPr>
      </w:pPr>
      <w:r w:rsidRPr="006436E2">
        <w:rPr>
          <w:rFonts w:cstheme="minorHAnsi"/>
        </w:rPr>
        <w:t>Definición:</w:t>
      </w:r>
    </w:p>
    <w:p w14:paraId="7C8DFA58" w14:textId="3673D467" w:rsidR="00813D05" w:rsidRPr="006436E2" w:rsidRDefault="00813D05">
      <w:pPr>
        <w:rPr>
          <w:rFonts w:cstheme="minorHAnsi"/>
        </w:rPr>
      </w:pPr>
      <w:r w:rsidRPr="006436E2">
        <w:rPr>
          <w:rFonts w:cstheme="minorHAnsi"/>
        </w:rPr>
        <w:t xml:space="preserve">Responsabilidad. </w:t>
      </w:r>
    </w:p>
    <w:p w14:paraId="138BC2D8" w14:textId="77777777" w:rsidR="00041799" w:rsidRPr="006436E2" w:rsidRDefault="00041799" w:rsidP="00813D05">
      <w:pPr>
        <w:pStyle w:val="Prrafodelista"/>
        <w:numPr>
          <w:ilvl w:val="0"/>
          <w:numId w:val="1"/>
        </w:numPr>
        <w:rPr>
          <w:rStyle w:val="b"/>
          <w:rFonts w:cstheme="minorHAnsi"/>
        </w:rPr>
      </w:pPr>
      <w:r w:rsidRPr="006436E2">
        <w:rPr>
          <w:rStyle w:val="g"/>
          <w:rFonts w:cstheme="minorHAnsi"/>
        </w:rPr>
        <w:t>f.</w:t>
      </w:r>
      <w:r w:rsidRPr="006436E2">
        <w:rPr>
          <w:rStyle w:val="b"/>
          <w:rFonts w:cstheme="minorHAnsi"/>
        </w:rPr>
        <w:t xml:space="preserve"> Deuda, obligación de reparar y satisfacer, por sí o por otra persona, a consecuencia de un delito, de una culpa o de otra causa legal</w:t>
      </w:r>
    </w:p>
    <w:p w14:paraId="18244917" w14:textId="1B27261B" w:rsidR="00813D05" w:rsidRPr="006436E2" w:rsidRDefault="00813D05" w:rsidP="00813D05">
      <w:pPr>
        <w:pStyle w:val="Prrafodelista"/>
        <w:numPr>
          <w:ilvl w:val="0"/>
          <w:numId w:val="1"/>
        </w:numPr>
        <w:rPr>
          <w:rFonts w:cstheme="minorHAnsi"/>
        </w:rPr>
      </w:pPr>
      <w:r w:rsidRPr="006436E2">
        <w:rPr>
          <w:rFonts w:cstheme="minorHAnsi"/>
        </w:rPr>
        <w:t>f. Cargo u obligación moral que resulta para alguien del posible fallo en una cosa o asunto determinado</w:t>
      </w:r>
    </w:p>
    <w:p w14:paraId="47ED94C7" w14:textId="109EE682" w:rsidR="00041799" w:rsidRPr="006436E2" w:rsidRDefault="00041799" w:rsidP="00041799">
      <w:pPr>
        <w:rPr>
          <w:rFonts w:cstheme="minorHAnsi"/>
        </w:rPr>
      </w:pPr>
      <w:r w:rsidRPr="006436E2">
        <w:rPr>
          <w:rFonts w:cstheme="minorHAnsi"/>
        </w:rPr>
        <w:t>Real Academia Española. Responsabilidad, definición. DLE</w:t>
      </w:r>
    </w:p>
    <w:p w14:paraId="49424794" w14:textId="6082DF65" w:rsidR="00813D05" w:rsidRPr="006436E2" w:rsidRDefault="00813D05" w:rsidP="00813D05">
      <w:pPr>
        <w:rPr>
          <w:rFonts w:cstheme="minorHAnsi"/>
        </w:rPr>
      </w:pPr>
      <w:r w:rsidRPr="006436E2">
        <w:rPr>
          <w:rFonts w:cstheme="minorHAnsi"/>
        </w:rPr>
        <w:t xml:space="preserve">Moral. </w:t>
      </w:r>
    </w:p>
    <w:p w14:paraId="17C10A9F" w14:textId="7A190871" w:rsidR="00813D05" w:rsidRPr="006436E2" w:rsidRDefault="00813D05" w:rsidP="00813D05">
      <w:pPr>
        <w:rPr>
          <w:rStyle w:val="nfasis"/>
          <w:rFonts w:cstheme="minorHAnsi"/>
        </w:rPr>
      </w:pPr>
      <w:r w:rsidRPr="006436E2">
        <w:rPr>
          <w:rFonts w:cstheme="minorHAnsi"/>
        </w:rPr>
        <w:t xml:space="preserve">Del lat. </w:t>
      </w:r>
      <w:proofErr w:type="spellStart"/>
      <w:r w:rsidRPr="006436E2">
        <w:rPr>
          <w:rStyle w:val="nfasis"/>
          <w:rFonts w:cstheme="minorHAnsi"/>
        </w:rPr>
        <w:t>morālis</w:t>
      </w:r>
      <w:proofErr w:type="spellEnd"/>
      <w:r w:rsidRPr="006436E2">
        <w:rPr>
          <w:rStyle w:val="nfasis"/>
          <w:rFonts w:cstheme="minorHAnsi"/>
        </w:rPr>
        <w:t>.</w:t>
      </w:r>
    </w:p>
    <w:p w14:paraId="0EE37A51" w14:textId="77777777" w:rsidR="00041799" w:rsidRPr="006436E2" w:rsidRDefault="00041799" w:rsidP="00041799">
      <w:pPr>
        <w:pStyle w:val="Prrafodelista"/>
        <w:numPr>
          <w:ilvl w:val="0"/>
          <w:numId w:val="2"/>
        </w:numPr>
        <w:rPr>
          <w:rStyle w:val="b"/>
          <w:rFonts w:cstheme="minorHAnsi"/>
        </w:rPr>
      </w:pPr>
      <w:r w:rsidRPr="006436E2">
        <w:rPr>
          <w:rStyle w:val="b"/>
          <w:rFonts w:cstheme="minorHAnsi"/>
        </w:rPr>
        <w:t>adj. Perteneciente o relativo a las acciones o caracteres de las personas, desde el punto de vista de la bondad o malicia.</w:t>
      </w:r>
    </w:p>
    <w:p w14:paraId="347F0894" w14:textId="47D8338B" w:rsidR="00041799" w:rsidRPr="006436E2" w:rsidRDefault="00041799" w:rsidP="00041799">
      <w:pPr>
        <w:pStyle w:val="Prrafodelista"/>
        <w:numPr>
          <w:ilvl w:val="0"/>
          <w:numId w:val="2"/>
        </w:numPr>
        <w:rPr>
          <w:rStyle w:val="b"/>
          <w:rFonts w:cstheme="minorHAnsi"/>
        </w:rPr>
      </w:pPr>
      <w:r w:rsidRPr="006436E2">
        <w:rPr>
          <w:rStyle w:val="g"/>
          <w:rFonts w:cstheme="minorHAnsi"/>
        </w:rPr>
        <w:t>adj.</w:t>
      </w:r>
      <w:r w:rsidRPr="006436E2">
        <w:rPr>
          <w:rStyle w:val="b"/>
          <w:rFonts w:cstheme="minorHAnsi"/>
        </w:rPr>
        <w:t xml:space="preserve"> Que no concierne al orden jurídico, sino al fuero interno o al respeto humano</w:t>
      </w:r>
    </w:p>
    <w:p w14:paraId="4C3E253A" w14:textId="52C68A37" w:rsidR="00041799" w:rsidRPr="006436E2" w:rsidRDefault="00041799" w:rsidP="00041799">
      <w:pPr>
        <w:rPr>
          <w:rFonts w:cstheme="minorHAnsi"/>
        </w:rPr>
      </w:pPr>
      <w:r w:rsidRPr="006436E2">
        <w:rPr>
          <w:rFonts w:cstheme="minorHAnsi"/>
        </w:rPr>
        <w:t>Real Academia Española. Responsabilidad, definición. DLE</w:t>
      </w:r>
    </w:p>
    <w:p w14:paraId="2AC28A71" w14:textId="25B13912" w:rsidR="00813D05" w:rsidRPr="006436E2" w:rsidRDefault="00813D05" w:rsidP="00813D05">
      <w:pPr>
        <w:rPr>
          <w:rFonts w:cstheme="minorHAnsi"/>
        </w:rPr>
      </w:pPr>
      <w:r w:rsidRPr="006436E2">
        <w:rPr>
          <w:rFonts w:cstheme="minorHAnsi"/>
        </w:rPr>
        <w:t xml:space="preserve">La </w:t>
      </w:r>
      <w:r w:rsidRPr="006436E2">
        <w:rPr>
          <w:rFonts w:cstheme="minorHAnsi"/>
          <w:b/>
          <w:bCs/>
        </w:rPr>
        <w:t>responsabilidad moral</w:t>
      </w:r>
      <w:r w:rsidRPr="006436E2">
        <w:rPr>
          <w:rFonts w:cstheme="minorHAnsi"/>
        </w:rPr>
        <w:t xml:space="preserve"> es aquella en la que se toma responsabilidad sobre un suceso específico o persona, poniendo la moral por encima de lo demás.</w:t>
      </w:r>
    </w:p>
    <w:p w14:paraId="1AE74042" w14:textId="5371B1B0" w:rsidR="00041799" w:rsidRPr="006436E2" w:rsidRDefault="00041799" w:rsidP="00813D05">
      <w:pPr>
        <w:rPr>
          <w:rFonts w:cstheme="minorHAnsi"/>
        </w:rPr>
      </w:pPr>
      <w:r w:rsidRPr="006436E2">
        <w:rPr>
          <w:rFonts w:cstheme="minorHAnsi"/>
        </w:rPr>
        <w:t xml:space="preserve">Resumen </w:t>
      </w:r>
    </w:p>
    <w:p w14:paraId="4BBA97EF" w14:textId="038B3ACF" w:rsidR="00041799" w:rsidRPr="006436E2" w:rsidRDefault="00472D62" w:rsidP="00472D62">
      <w:pPr>
        <w:rPr>
          <w:rFonts w:cstheme="minorHAnsi"/>
        </w:rPr>
      </w:pPr>
      <w:r w:rsidRPr="006436E2">
        <w:rPr>
          <w:rFonts w:cstheme="minorHAnsi"/>
        </w:rPr>
        <w:t xml:space="preserve">La responsabilidad moral toma relevancia cuando no está claro quién es el responsable de un fallo, como sucede en el caso de un fallo de al software, que pone en tela de juicio las nociones de responsabilidad moral y legal en muchas ocasiones, porque, en general, el creador del software no es un individuo sino un equipo (o varios equipos) que forma parte de una compañía o agencia. </w:t>
      </w:r>
    </w:p>
    <w:p w14:paraId="12DE88C3" w14:textId="1CEA5E18" w:rsidR="00B42789" w:rsidRPr="006436E2" w:rsidRDefault="00B42789" w:rsidP="00472D62">
      <w:pPr>
        <w:rPr>
          <w:rFonts w:cstheme="minorHAnsi"/>
          <w:b/>
          <w:bCs/>
        </w:rPr>
      </w:pPr>
      <w:r w:rsidRPr="006436E2">
        <w:rPr>
          <w:rFonts w:cstheme="minorHAnsi"/>
          <w:b/>
          <w:bCs/>
        </w:rPr>
        <w:t>Articulo</w:t>
      </w:r>
      <w:r w:rsidR="00C36F2F" w:rsidRPr="006436E2">
        <w:rPr>
          <w:rFonts w:cstheme="minorHAnsi"/>
          <w:b/>
          <w:bCs/>
        </w:rPr>
        <w:t xml:space="preserve"> </w:t>
      </w:r>
      <w:r w:rsidR="002A01F1" w:rsidRPr="006436E2">
        <w:rPr>
          <w:rFonts w:cstheme="minorHAnsi"/>
          <w:b/>
          <w:bCs/>
        </w:rPr>
        <w:t>seleccionado</w:t>
      </w:r>
    </w:p>
    <w:p w14:paraId="3CF608B1" w14:textId="18FEE8AE" w:rsidR="002A01F1" w:rsidRPr="006436E2" w:rsidRDefault="00000000" w:rsidP="00472D62">
      <w:pPr>
        <w:rPr>
          <w:rFonts w:cstheme="minorHAnsi"/>
          <w:b/>
          <w:bCs/>
          <w:color w:val="00B0F0"/>
        </w:rPr>
      </w:pPr>
      <w:hyperlink r:id="rId5" w:history="1"/>
      <w:r w:rsidR="0046556C" w:rsidRPr="006436E2">
        <w:rPr>
          <w:rFonts w:cstheme="minorHAnsi"/>
          <w:b/>
          <w:bCs/>
          <w:color w:val="00B0F0"/>
        </w:rPr>
        <w:t xml:space="preserve"> https://www.associationofsciencecommunicators.org/2022/responsible-science-communication-its-our-responsibility/</w:t>
      </w:r>
    </w:p>
    <w:p w14:paraId="4EE4BCC6" w14:textId="56145336" w:rsidR="002A01F1" w:rsidRPr="006436E2" w:rsidRDefault="002A01F1" w:rsidP="00472D62">
      <w:pPr>
        <w:rPr>
          <w:rFonts w:cstheme="minorHAnsi"/>
        </w:rPr>
      </w:pPr>
      <w:r w:rsidRPr="006436E2">
        <w:rPr>
          <w:rFonts w:cstheme="minorHAnsi"/>
          <w:b/>
          <w:bCs/>
        </w:rPr>
        <w:t>Resumen</w:t>
      </w:r>
      <w:r w:rsidR="007B3C66" w:rsidRPr="006436E2">
        <w:rPr>
          <w:rFonts w:cstheme="minorHAnsi"/>
          <w:b/>
          <w:bCs/>
        </w:rPr>
        <w:t>:</w:t>
      </w:r>
      <w:r w:rsidR="004F2A4A" w:rsidRPr="006436E2">
        <w:rPr>
          <w:rFonts w:cstheme="minorHAnsi"/>
        </w:rPr>
        <w:t xml:space="preserve"> Este artículo explora la responsabilidad moral de los científicos de garantizar que sus investigaciones se utilicen para el bien y no para el mal. El artículo analiza los diferentes desafíos que enfrentan los científicos a la hora de cumplir con esta responsabilidad.</w:t>
      </w:r>
    </w:p>
    <w:p w14:paraId="4A0039D8" w14:textId="77777777" w:rsidR="006436E2" w:rsidRPr="006436E2" w:rsidRDefault="006436E2" w:rsidP="006436E2">
      <w:pPr>
        <w:spacing w:before="100" w:beforeAutospacing="1" w:after="100" w:afterAutospacing="1" w:line="240" w:lineRule="auto"/>
        <w:rPr>
          <w:rFonts w:eastAsia="Times New Roman" w:cstheme="minorHAnsi"/>
          <w:sz w:val="24"/>
          <w:szCs w:val="24"/>
          <w:lang w:val="en-US" w:eastAsia="es-AR"/>
        </w:rPr>
      </w:pPr>
      <w:r w:rsidRPr="006436E2">
        <w:rPr>
          <w:rFonts w:eastAsia="Times New Roman" w:cstheme="minorHAnsi"/>
          <w:b/>
          <w:bCs/>
          <w:sz w:val="24"/>
          <w:szCs w:val="24"/>
          <w:lang w:val="en-US" w:eastAsia="es-AR"/>
        </w:rPr>
        <w:t>Cita APA:</w:t>
      </w:r>
    </w:p>
    <w:p w14:paraId="05B7F122" w14:textId="77777777" w:rsidR="006436E2" w:rsidRPr="006436E2" w:rsidRDefault="006436E2" w:rsidP="006436E2">
      <w:pPr>
        <w:spacing w:before="100" w:beforeAutospacing="1" w:after="100" w:afterAutospacing="1" w:line="240" w:lineRule="auto"/>
        <w:rPr>
          <w:rFonts w:eastAsia="Times New Roman" w:cstheme="minorHAnsi"/>
          <w:sz w:val="24"/>
          <w:szCs w:val="24"/>
          <w:lang w:eastAsia="es-AR"/>
        </w:rPr>
      </w:pPr>
      <w:r w:rsidRPr="006436E2">
        <w:rPr>
          <w:rFonts w:eastAsia="Times New Roman" w:cstheme="minorHAnsi"/>
          <w:sz w:val="24"/>
          <w:szCs w:val="24"/>
          <w:lang w:val="en-US" w:eastAsia="es-AR"/>
        </w:rPr>
        <w:lastRenderedPageBreak/>
        <w:t xml:space="preserve">The Conversation. (2021). The moral responsibility of scientists. </w:t>
      </w:r>
      <w:hyperlink r:id="rId6" w:tgtFrame="_blank" w:history="1">
        <w:r w:rsidRPr="006436E2">
          <w:rPr>
            <w:rFonts w:eastAsia="Times New Roman" w:cstheme="minorHAnsi"/>
            <w:color w:val="0000FF"/>
            <w:sz w:val="24"/>
            <w:szCs w:val="24"/>
            <w:u w:val="single"/>
            <w:lang w:eastAsia="es-AR"/>
          </w:rPr>
          <w:t>https://www.associationofsciencecommunicators.org/2022/responsible-science-communication-its-our-responsibility/</w:t>
        </w:r>
      </w:hyperlink>
    </w:p>
    <w:p w14:paraId="7D91B51E" w14:textId="77777777" w:rsidR="004F2A4A" w:rsidRPr="0046556C" w:rsidRDefault="004F2A4A" w:rsidP="00472D62">
      <w:pPr>
        <w:rPr>
          <w:b/>
          <w:bCs/>
          <w:color w:val="00B0F0"/>
        </w:rPr>
      </w:pPr>
    </w:p>
    <w:p w14:paraId="0F5BDB50" w14:textId="77777777" w:rsidR="00765FF8" w:rsidRDefault="00765FF8" w:rsidP="00472D62"/>
    <w:p w14:paraId="07F5C9A7" w14:textId="77777777" w:rsidR="00472D62" w:rsidRDefault="00472D62" w:rsidP="00472D62"/>
    <w:p w14:paraId="690C7A3D" w14:textId="77777777" w:rsidR="00813D05" w:rsidRDefault="00813D05" w:rsidP="00813D05"/>
    <w:p w14:paraId="4865E1A0" w14:textId="77777777" w:rsidR="00813D05" w:rsidRDefault="00813D05" w:rsidP="00813D05"/>
    <w:p w14:paraId="01AD9F52" w14:textId="77777777" w:rsidR="00813D05" w:rsidRDefault="00813D05"/>
    <w:p w14:paraId="6190D0B0" w14:textId="77777777" w:rsidR="00620194" w:rsidRDefault="00620194"/>
    <w:sectPr w:rsidR="006201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71076"/>
    <w:multiLevelType w:val="hybridMultilevel"/>
    <w:tmpl w:val="7B60B49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9C64E16"/>
    <w:multiLevelType w:val="hybridMultilevel"/>
    <w:tmpl w:val="7E144C6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323507168">
    <w:abstractNumId w:val="1"/>
  </w:num>
  <w:num w:numId="2" w16cid:durableId="2073500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94"/>
    <w:rsid w:val="00041799"/>
    <w:rsid w:val="002A01F1"/>
    <w:rsid w:val="0046556C"/>
    <w:rsid w:val="00472D62"/>
    <w:rsid w:val="004F2A4A"/>
    <w:rsid w:val="00620194"/>
    <w:rsid w:val="006436E2"/>
    <w:rsid w:val="00765FF8"/>
    <w:rsid w:val="007B3C66"/>
    <w:rsid w:val="00813D05"/>
    <w:rsid w:val="00922417"/>
    <w:rsid w:val="00B42789"/>
    <w:rsid w:val="00BC2CDE"/>
    <w:rsid w:val="00C36F2F"/>
    <w:rsid w:val="00E84CC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6793D"/>
  <w15:chartTrackingRefBased/>
  <w15:docId w15:val="{A320C217-74F7-49ED-9AD6-13F2AB24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acep">
    <w:name w:val="n_acep"/>
    <w:basedOn w:val="Fuentedeprrafopredeter"/>
    <w:rsid w:val="00813D05"/>
  </w:style>
  <w:style w:type="paragraph" w:styleId="Prrafodelista">
    <w:name w:val="List Paragraph"/>
    <w:basedOn w:val="Normal"/>
    <w:uiPriority w:val="34"/>
    <w:qFormat/>
    <w:rsid w:val="00813D05"/>
    <w:pPr>
      <w:ind w:left="720"/>
      <w:contextualSpacing/>
    </w:pPr>
  </w:style>
  <w:style w:type="character" w:styleId="nfasis">
    <w:name w:val="Emphasis"/>
    <w:basedOn w:val="Fuentedeprrafopredeter"/>
    <w:uiPriority w:val="20"/>
    <w:qFormat/>
    <w:rsid w:val="00813D05"/>
    <w:rPr>
      <w:i/>
      <w:iCs/>
    </w:rPr>
  </w:style>
  <w:style w:type="character" w:customStyle="1" w:styleId="g">
    <w:name w:val="g"/>
    <w:basedOn w:val="Fuentedeprrafopredeter"/>
    <w:rsid w:val="00041799"/>
  </w:style>
  <w:style w:type="character" w:customStyle="1" w:styleId="b">
    <w:name w:val="b"/>
    <w:basedOn w:val="Fuentedeprrafopredeter"/>
    <w:rsid w:val="00041799"/>
  </w:style>
  <w:style w:type="character" w:styleId="Hipervnculo">
    <w:name w:val="Hyperlink"/>
    <w:basedOn w:val="Fuentedeprrafopredeter"/>
    <w:uiPriority w:val="99"/>
    <w:unhideWhenUsed/>
    <w:rsid w:val="002A01F1"/>
    <w:rPr>
      <w:color w:val="0563C1" w:themeColor="hyperlink"/>
      <w:u w:val="single"/>
    </w:rPr>
  </w:style>
  <w:style w:type="character" w:styleId="Mencinsinresolver">
    <w:name w:val="Unresolved Mention"/>
    <w:basedOn w:val="Fuentedeprrafopredeter"/>
    <w:uiPriority w:val="99"/>
    <w:semiHidden/>
    <w:unhideWhenUsed/>
    <w:rsid w:val="002A01F1"/>
    <w:rPr>
      <w:color w:val="605E5C"/>
      <w:shd w:val="clear" w:color="auto" w:fill="E1DFDD"/>
    </w:rPr>
  </w:style>
  <w:style w:type="table" w:styleId="Tablaconcuadrcula">
    <w:name w:val="Table Grid"/>
    <w:basedOn w:val="Tablanormal"/>
    <w:uiPriority w:val="39"/>
    <w:rsid w:val="00E8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841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sociationofsciencecommunicators.org/2022/responsible-science-communication-its-our-responsibility/" TargetMode="External"/><Relationship Id="rId5" Type="http://schemas.openxmlformats.org/officeDocument/2006/relationships/hyperlink" Target="https://ri.conicet.gov.ar/handle/11336/203366"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322</Words>
  <Characters>1774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la motta  diáz</dc:creator>
  <cp:keywords/>
  <dc:description/>
  <cp:lastModifiedBy>Tomás Cabrera</cp:lastModifiedBy>
  <cp:revision>2</cp:revision>
  <dcterms:created xsi:type="dcterms:W3CDTF">2024-05-29T16:17:00Z</dcterms:created>
  <dcterms:modified xsi:type="dcterms:W3CDTF">2024-05-29T16:17:00Z</dcterms:modified>
</cp:coreProperties>
</file>