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7B5A" w14:textId="77777777" w:rsidR="00566403" w:rsidRDefault="00566403" w:rsidP="00D6738C">
      <w:pPr>
        <w:jc w:val="center"/>
        <w:rPr>
          <w:b/>
          <w:u w:val="single"/>
        </w:rPr>
      </w:pPr>
    </w:p>
    <w:p w14:paraId="668E7B5B" w14:textId="77777777" w:rsidR="00D6738C" w:rsidRPr="00D6738C" w:rsidRDefault="00D6738C" w:rsidP="00D6738C">
      <w:pPr>
        <w:jc w:val="center"/>
        <w:rPr>
          <w:b/>
          <w:u w:val="single"/>
        </w:rPr>
      </w:pPr>
      <w:r w:rsidRPr="00D6738C">
        <w:rPr>
          <w:b/>
          <w:u w:val="single"/>
        </w:rPr>
        <w:t>TRABAJO PRÁCTICO Nº1</w:t>
      </w:r>
    </w:p>
    <w:p w14:paraId="668E7B5C" w14:textId="77777777" w:rsidR="00D6738C" w:rsidRDefault="00D6738C" w:rsidP="00702446">
      <w:pPr>
        <w:rPr>
          <w:highlight w:val="green"/>
        </w:rPr>
      </w:pPr>
    </w:p>
    <w:p w14:paraId="051B4DA5" w14:textId="55D3C6E8" w:rsidR="00F95A63" w:rsidRDefault="00F95A63" w:rsidP="00F95A63">
      <w:pPr>
        <w:jc w:val="center"/>
        <w:rPr>
          <w:b/>
        </w:rPr>
      </w:pPr>
      <w:r>
        <w:rPr>
          <w:b/>
        </w:rPr>
        <w:t>PARTE A – DESARROLLO EN CLASES</w:t>
      </w:r>
    </w:p>
    <w:p w14:paraId="1649BB34" w14:textId="77777777" w:rsidR="00F95A63" w:rsidRDefault="00F95A63" w:rsidP="00702446">
      <w:pPr>
        <w:rPr>
          <w:b/>
        </w:rPr>
      </w:pPr>
    </w:p>
    <w:p w14:paraId="7CF548B2" w14:textId="243B00F6" w:rsidR="005E4485" w:rsidRPr="005363B1" w:rsidRDefault="002F2946" w:rsidP="005E4485">
      <w:pPr>
        <w:rPr>
          <w:b/>
        </w:rPr>
      </w:pPr>
      <w:r>
        <w:rPr>
          <w:b/>
        </w:rPr>
        <w:t>Ejercicio N°1</w:t>
      </w:r>
      <w:r w:rsidR="005E4485">
        <w:rPr>
          <w:b/>
        </w:rPr>
        <w:t>-A</w:t>
      </w:r>
      <w:r>
        <w:rPr>
          <w:b/>
        </w:rPr>
        <w:t xml:space="preserve">. </w:t>
      </w:r>
      <w:r w:rsidR="005E4485" w:rsidRPr="005363B1">
        <w:rPr>
          <w:b/>
        </w:rPr>
        <w:t>Dinámica de poblaciones</w:t>
      </w:r>
    </w:p>
    <w:p w14:paraId="68F2CAE6" w14:textId="77777777" w:rsidR="005E4485" w:rsidRDefault="005E4485" w:rsidP="005E4485">
      <w:pPr>
        <w:rPr>
          <w:highlight w:val="green"/>
        </w:rPr>
      </w:pPr>
    </w:p>
    <w:p w14:paraId="455ECBAC" w14:textId="54870078" w:rsidR="005E4485" w:rsidRDefault="005E4485" w:rsidP="005E4485">
      <w:r w:rsidRPr="005363B1">
        <w:t>La dinámi</w:t>
      </w:r>
      <w:r>
        <w:t xml:space="preserve">ca de poblaciones es el estudio de los cambios en el número y la composición de individuos de una población y los factores que afectan dicho número. Cuando hablamos de poblaciones, éstas pueden ser bacterias, animales o seres humanos o cualquier otra.  La evaluación de la dinámica poblacional es importante para: 1) entender la forma en que las alteraciones ambientales afectan a las poblaciones; 2) predecir las necesidades de agua para la vida humana; 3) predecir las poblaciones bacterianas para sistemas e ingeniería y 4) emplear las poblaciones como indicadores de la calidad ambiental. </w:t>
      </w:r>
    </w:p>
    <w:p w14:paraId="60B85176" w14:textId="77777777" w:rsidR="005E4485" w:rsidRDefault="005E4485" w:rsidP="005E4485"/>
    <w:p w14:paraId="1A19FCC1" w14:textId="01F8ECF3" w:rsidR="005E4485" w:rsidRDefault="005E4485" w:rsidP="005E4485">
      <w:r w:rsidRPr="00BB4C7D">
        <w:rPr>
          <w:u w:val="single"/>
        </w:rPr>
        <w:t>Caso de poblaci</w:t>
      </w:r>
      <w:r>
        <w:rPr>
          <w:u w:val="single"/>
        </w:rPr>
        <w:t>ón animal</w:t>
      </w:r>
      <w:r>
        <w:t>:</w:t>
      </w:r>
    </w:p>
    <w:p w14:paraId="72022644" w14:textId="77777777" w:rsidR="005E4485" w:rsidRDefault="005E4485" w:rsidP="005E4485"/>
    <w:p w14:paraId="56D8E345" w14:textId="298979C7" w:rsidR="005E4485" w:rsidRDefault="005E4485" w:rsidP="005E4485">
      <w:r w:rsidRPr="00FD2173">
        <w:t xml:space="preserve">La </w:t>
      </w:r>
      <w:r>
        <w:t>dinámica de poblaciones animales depende de numerosos factores.  Entre ellos depende de lo siguiente:</w:t>
      </w:r>
    </w:p>
    <w:p w14:paraId="5993AF06" w14:textId="77777777" w:rsidR="005E4485" w:rsidRDefault="005E4485" w:rsidP="005E4485">
      <w:r>
        <w:t>r: tasa de crecimiento específica</w:t>
      </w:r>
    </w:p>
    <w:p w14:paraId="11AE54AC" w14:textId="77777777" w:rsidR="005E4485" w:rsidRDefault="005E4485" w:rsidP="005E4485">
      <w:r>
        <w:t>K: capacidad de carga. Es el número de individuos a los que puede brindar sustento un área.</w:t>
      </w:r>
    </w:p>
    <w:p w14:paraId="6EC68664" w14:textId="77777777" w:rsidR="005E4485" w:rsidRDefault="005E4485" w:rsidP="005E4485">
      <w:r>
        <w:t>Teniendo en cuenta lo anterior, y suponiendo un modelo de crecimiento logístico, dado una población inicial Po, al cabo de tiempo t, la población será:</w:t>
      </w:r>
    </w:p>
    <w:p w14:paraId="511EA728" w14:textId="77777777" w:rsidR="005E4485" w:rsidRDefault="005E4485" w:rsidP="005E448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C3D55" wp14:editId="6149B8E6">
                <wp:simplePos x="0" y="0"/>
                <wp:positionH relativeFrom="column">
                  <wp:posOffset>4056408</wp:posOffset>
                </wp:positionH>
                <wp:positionV relativeFrom="paragraph">
                  <wp:posOffset>40612</wp:posOffset>
                </wp:positionV>
                <wp:extent cx="1470991" cy="445273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991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BB1AA" w14:textId="77777777" w:rsidR="005E4485" w:rsidRDefault="005E4485" w:rsidP="005E44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0177">
                              <w:rPr>
                                <w:sz w:val="18"/>
                                <w:szCs w:val="18"/>
                              </w:rPr>
                              <w:t>Po: Población inicial</w:t>
                            </w:r>
                          </w:p>
                          <w:p w14:paraId="5C9B72E4" w14:textId="77777777" w:rsidR="005E4485" w:rsidRPr="00570177" w:rsidRDefault="005E4485" w:rsidP="005E44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t: 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C3D5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9.4pt;margin-top:3.2pt;width:115.8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" fillcolor="white [3201]" stroked="f" strokeweight=".5pt">
                <v:textbox>
                  <w:txbxContent>
                    <w:p w14:paraId="15BBB1AA" w14:textId="77777777" w:rsidR="005E4485" w:rsidRDefault="005E4485" w:rsidP="005E4485">
                      <w:pPr>
                        <w:rPr>
                          <w:sz w:val="18"/>
                          <w:szCs w:val="18"/>
                        </w:rPr>
                      </w:pPr>
                      <w:r w:rsidRPr="00570177">
                        <w:rPr>
                          <w:sz w:val="18"/>
                          <w:szCs w:val="18"/>
                        </w:rPr>
                        <w:t>Po: Población inicial</w:t>
                      </w:r>
                    </w:p>
                    <w:p w14:paraId="5C9B72E4" w14:textId="77777777" w:rsidR="005E4485" w:rsidRPr="00570177" w:rsidRDefault="005E4485" w:rsidP="005E44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t: tiempo</w:t>
                      </w:r>
                    </w:p>
                  </w:txbxContent>
                </v:textbox>
              </v:shape>
            </w:pict>
          </mc:Fallback>
        </mc:AlternateContent>
      </w:r>
    </w:p>
    <w:p w14:paraId="1FFF9B0D" w14:textId="77777777" w:rsidR="005E4485" w:rsidRPr="00FD2173" w:rsidRDefault="005E4485" w:rsidP="005E448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K*Po</m:t>
              </m:r>
            </m:num>
            <m:den>
              <m:r>
                <w:rPr>
                  <w:rFonts w:ascii="Cambria Math" w:hAnsi="Cambria Math"/>
                </w:rPr>
                <m:t>Po+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K-Po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-rt</m:t>
                  </m:r>
                </m:sup>
              </m:sSup>
            </m:den>
          </m:f>
        </m:oMath>
      </m:oMathPara>
    </w:p>
    <w:p w14:paraId="2BEBFC51" w14:textId="77777777" w:rsidR="005E4485" w:rsidRDefault="005E4485" w:rsidP="005E4485">
      <w:pPr>
        <w:rPr>
          <w:rFonts w:eastAsiaTheme="minorEastAsia"/>
        </w:rPr>
      </w:pPr>
    </w:p>
    <w:p w14:paraId="668E7B7F" w14:textId="04B20AA8" w:rsidR="003C70A9" w:rsidRPr="00CB0C0E" w:rsidRDefault="005E4485" w:rsidP="005E4485">
      <w:pPr>
        <w:rPr>
          <w:rFonts w:eastAsiaTheme="minorEastAsia"/>
        </w:rPr>
      </w:pPr>
      <w:r>
        <w:rPr>
          <w:rFonts w:eastAsiaTheme="minorEastAsia"/>
        </w:rPr>
        <w:t>Suponiendo que la población de liebre patagónica (mara) de la provincia de Santa Cruz en el año 2005 fue de 300 por ha. Considerando una capacidad de carga K=700 y una tasa de reproducción r = 0,30/año, determinar el número de maras para el año 2006, 2010 y 2015.</w:t>
      </w:r>
    </w:p>
    <w:p w14:paraId="668E7B80" w14:textId="77777777" w:rsidR="003C70A9" w:rsidRDefault="003C70A9" w:rsidP="00702446">
      <w:pPr>
        <w:rPr>
          <w:highlight w:val="green"/>
        </w:rPr>
      </w:pPr>
    </w:p>
    <w:p w14:paraId="7945D17E" w14:textId="7F671C59" w:rsidR="00344096" w:rsidRPr="00E3453F" w:rsidRDefault="00880D79" w:rsidP="00344096">
      <w:pPr>
        <w:rPr>
          <w:b/>
        </w:rPr>
      </w:pPr>
      <w:r>
        <w:rPr>
          <w:b/>
        </w:rPr>
        <w:t>Ejercicio N°2</w:t>
      </w:r>
      <w:r w:rsidR="0069460B">
        <w:rPr>
          <w:b/>
        </w:rPr>
        <w:t>-A</w:t>
      </w:r>
      <w:r>
        <w:rPr>
          <w:b/>
        </w:rPr>
        <w:t xml:space="preserve">. </w:t>
      </w:r>
      <w:r w:rsidR="00344096" w:rsidRPr="00E3453F">
        <w:rPr>
          <w:b/>
        </w:rPr>
        <w:t xml:space="preserve">Concepto de </w:t>
      </w:r>
      <w:r w:rsidR="00565A34">
        <w:rPr>
          <w:b/>
        </w:rPr>
        <w:t>b</w:t>
      </w:r>
      <w:r w:rsidR="00344096" w:rsidRPr="00E3453F">
        <w:rPr>
          <w:b/>
        </w:rPr>
        <w:t>ioacumulación</w:t>
      </w:r>
    </w:p>
    <w:p w14:paraId="0682C277" w14:textId="77777777" w:rsidR="00344096" w:rsidRDefault="00344096" w:rsidP="00344096"/>
    <w:p w14:paraId="616B1416" w14:textId="212818C6" w:rsidR="00344096" w:rsidRDefault="00344096" w:rsidP="00344096">
      <w:r>
        <w:t>Los compuestos hidrófobos (que rechazan el agua) tienden a ser lipófilos, es decir que aceptan lípidos. En consecuencia</w:t>
      </w:r>
      <w:r w:rsidR="00C53338">
        <w:t>,</w:t>
      </w:r>
      <w:r>
        <w:t xml:space="preserve"> estos compuestos propenden a la partición (movimiento hacia adentro) en el tejido adiposo de los animales, este proceso es llamado </w:t>
      </w:r>
      <w:r w:rsidRPr="00E3453F">
        <w:rPr>
          <w:u w:val="single"/>
        </w:rPr>
        <w:t>bioacumulación</w:t>
      </w:r>
      <w:r>
        <w:t>. Ésta es la captura total de sustancias químicas por un organismo a partir de su origen en elementos alimentarios (organismos bentónicos, peces, ingestión de sedimentos, etc.) y por el transporte de masa de compuestos disueltos a través de branquias y el epitelio. Cuando se bioacumulan las sustancias químicas</w:t>
      </w:r>
      <w:r w:rsidR="00C53338">
        <w:t>,</w:t>
      </w:r>
      <w:r>
        <w:t xml:space="preserve"> su concentración aumenta al paso del tiempo en un organismo. Esto ocurrirá si estos compuestos químicos se retienen en el tejido adiposo con mayor rapidez que la de su desdoblamiento (metabolismo) o excreción.</w:t>
      </w:r>
      <w:r w:rsidR="00C53338">
        <w:t xml:space="preserve"> </w:t>
      </w:r>
      <w:r>
        <w:t>Por ejemplo</w:t>
      </w:r>
      <w:r w:rsidR="00C53338">
        <w:t>,</w:t>
      </w:r>
      <w:r>
        <w:t xml:space="preserve"> si un crustáceo u otro organismo habitante del fondo lacustre consume DDT (Dicloro difenil tricloroetano) del sedimento del lago, estos compuestos tienden a permanecer en su tejido adiposo. El problema se vuelve más complicado cuando un pez pequeño se come al crustáceo, ya que no sólo ingiere al </w:t>
      </w:r>
      <w:r w:rsidR="00C53338">
        <w:t>animal,</w:t>
      </w:r>
      <w:r>
        <w:t xml:space="preserve"> sino que también el DDT o el contaminante que se encuentre en sus tejidos.  El proceso continúa cuando peces más grandes se comen a los pequeños.</w:t>
      </w:r>
    </w:p>
    <w:p w14:paraId="08CFC88A" w14:textId="68992005" w:rsidR="00417924" w:rsidRDefault="0077196E" w:rsidP="00344096">
      <w:r>
        <w:t>El factor de bioconcentración</w:t>
      </w:r>
      <w:r w:rsidR="009118BB">
        <w:t xml:space="preserve"> es </w:t>
      </w:r>
      <w:r w:rsidR="00417924" w:rsidRPr="00417924">
        <w:t>el cociente entre la concentración esperada del compuesto en un organismo y la concentración del compuesto en el agua</w:t>
      </w:r>
      <w:r w:rsidR="005B43CC">
        <w:t>:</w:t>
      </w:r>
    </w:p>
    <w:p w14:paraId="17096E4D" w14:textId="09E86174" w:rsidR="00C73F50" w:rsidRPr="002F6984" w:rsidRDefault="00C73F50" w:rsidP="00C73F50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C=b*k</m:t>
          </m:r>
        </m:oMath>
      </m:oMathPara>
    </w:p>
    <w:p w14:paraId="22FF0089" w14:textId="1534F58D" w:rsidR="002F6984" w:rsidRDefault="002F6984" w:rsidP="002F6984">
      <w:pPr>
        <w:jc w:val="left"/>
        <w:rPr>
          <w:rFonts w:eastAsiaTheme="minorEastAsia"/>
        </w:rPr>
      </w:pPr>
      <w:r>
        <w:rPr>
          <w:rFonts w:eastAsiaTheme="minorEastAsia"/>
        </w:rPr>
        <w:t>C: concentración esperada</w:t>
      </w:r>
      <w:r w:rsidR="005B43CC">
        <w:rPr>
          <w:rFonts w:eastAsiaTheme="minorEastAsia"/>
        </w:rPr>
        <w:t xml:space="preserve"> en el organismo</w:t>
      </w:r>
      <w:r w:rsidR="006D381C">
        <w:rPr>
          <w:rFonts w:eastAsiaTheme="minorEastAsia"/>
        </w:rPr>
        <w:t xml:space="preserve"> (</w:t>
      </w:r>
      <w:r w:rsidR="006D381C" w:rsidRPr="00093310">
        <w:rPr>
          <w:rFonts w:ascii="Symbol" w:hAnsi="Symbol"/>
        </w:rPr>
        <w:t></w:t>
      </w:r>
      <w:r w:rsidR="006D381C">
        <w:t>g/kg)</w:t>
      </w:r>
    </w:p>
    <w:p w14:paraId="2CF8FB1E" w14:textId="5252FF13" w:rsidR="002F6984" w:rsidRDefault="00F15B04" w:rsidP="002F6984">
      <w:pPr>
        <w:jc w:val="left"/>
        <w:rPr>
          <w:rFonts w:eastAsiaTheme="minorEastAsia"/>
        </w:rPr>
      </w:pPr>
      <w:r>
        <w:rPr>
          <w:rFonts w:eastAsiaTheme="minorEastAsia"/>
        </w:rPr>
        <w:t>k: factor de bioconcentración</w:t>
      </w:r>
      <w:r w:rsidR="006D381C">
        <w:rPr>
          <w:rFonts w:eastAsiaTheme="minorEastAsia"/>
        </w:rPr>
        <w:t xml:space="preserve"> (L/kg)</w:t>
      </w:r>
    </w:p>
    <w:p w14:paraId="7DB40011" w14:textId="5959E957" w:rsidR="00F15B04" w:rsidRDefault="00F15B04" w:rsidP="002F6984">
      <w:pPr>
        <w:jc w:val="left"/>
      </w:pPr>
      <w:r>
        <w:rPr>
          <w:rFonts w:eastAsiaTheme="minorEastAsia"/>
        </w:rPr>
        <w:t xml:space="preserve">b: </w:t>
      </w:r>
      <w:r w:rsidR="00E117DE">
        <w:rPr>
          <w:rFonts w:eastAsiaTheme="minorEastAsia"/>
        </w:rPr>
        <w:t>concentración del compuesto en el agua</w:t>
      </w:r>
      <w:r w:rsidR="005B3386">
        <w:rPr>
          <w:rFonts w:eastAsiaTheme="minorEastAsia"/>
        </w:rPr>
        <w:t xml:space="preserve"> (</w:t>
      </w:r>
      <w:r w:rsidR="005B3386" w:rsidRPr="00093310">
        <w:rPr>
          <w:rFonts w:ascii="Symbol" w:hAnsi="Symbol"/>
        </w:rPr>
        <w:t></w:t>
      </w:r>
      <w:r w:rsidR="005B3386">
        <w:t>g/L)</w:t>
      </w:r>
    </w:p>
    <w:p w14:paraId="51659911" w14:textId="77777777" w:rsidR="00C53338" w:rsidRDefault="00C53338" w:rsidP="00344096"/>
    <w:p w14:paraId="63EE8D6C" w14:textId="1A4B2F63" w:rsidR="00344096" w:rsidRDefault="00344096" w:rsidP="00344096">
      <w:r>
        <w:t>Teniendo en cuenta lo anterior, resolver:</w:t>
      </w:r>
    </w:p>
    <w:p w14:paraId="51B4449F" w14:textId="77777777" w:rsidR="00344096" w:rsidRDefault="00344096" w:rsidP="00344096"/>
    <w:p w14:paraId="0BB9602E" w14:textId="1D787FDB" w:rsidR="00344096" w:rsidRPr="00FD2173" w:rsidRDefault="00344096" w:rsidP="00344096">
      <w:r>
        <w:t xml:space="preserve">La concentración de plaguicida DDT </w:t>
      </w:r>
      <w:r w:rsidR="002F27A8">
        <w:t>en un lago es</w:t>
      </w:r>
      <w:r>
        <w:t xml:space="preserve"> de 7</w:t>
      </w:r>
      <w:r w:rsidR="00AC2EDF">
        <w:t>(</w:t>
      </w:r>
      <w:r w:rsidRPr="00093310">
        <w:rPr>
          <w:rFonts w:ascii="Symbol" w:hAnsi="Symbol"/>
        </w:rPr>
        <w:t></w:t>
      </w:r>
      <w:r>
        <w:t>g</w:t>
      </w:r>
      <w:r w:rsidR="002E5392">
        <w:t xml:space="preserve"> DDT)</w:t>
      </w:r>
      <w:r>
        <w:t>/</w:t>
      </w:r>
      <w:r w:rsidR="002F27A8">
        <w:t>(</w:t>
      </w:r>
      <w:r>
        <w:t xml:space="preserve">l </w:t>
      </w:r>
      <w:r w:rsidR="002F27A8">
        <w:t>de</w:t>
      </w:r>
      <w:r>
        <w:t xml:space="preserve"> agua</w:t>
      </w:r>
      <w:r w:rsidR="002F27A8">
        <w:t>)</w:t>
      </w:r>
      <w:r>
        <w:t xml:space="preserve">. El factor de bioconcentración </w:t>
      </w:r>
      <w:r w:rsidR="003A33B9">
        <w:t xml:space="preserve">del DDT </w:t>
      </w:r>
      <w:r w:rsidR="00056B33">
        <w:t xml:space="preserve">en el tejido de los peces </w:t>
      </w:r>
      <w:r>
        <w:t>es de 54.000 l/</w:t>
      </w:r>
      <w:r w:rsidR="002E5392">
        <w:t>(</w:t>
      </w:r>
      <w:r>
        <w:t>kg</w:t>
      </w:r>
      <w:r w:rsidR="002E5392">
        <w:t xml:space="preserve"> de pez)</w:t>
      </w:r>
      <w:r>
        <w:t xml:space="preserve">. </w:t>
      </w:r>
      <w:r w:rsidR="00C53338">
        <w:t>¿Cuál es la concentración esperada de DDT en los peces que viven en el</w:t>
      </w:r>
      <w:r w:rsidR="00253DE0">
        <w:t xml:space="preserve"> lago</w:t>
      </w:r>
      <w:r w:rsidR="00C53338">
        <w:t>?</w:t>
      </w:r>
      <w:r>
        <w:t xml:space="preserve"> Expresar el resultado en </w:t>
      </w:r>
      <w:r w:rsidR="002962EE">
        <w:t>(</w:t>
      </w:r>
      <w:r w:rsidRPr="00093310">
        <w:rPr>
          <w:rFonts w:ascii="Symbol" w:hAnsi="Symbol"/>
        </w:rPr>
        <w:t></w:t>
      </w:r>
      <w:r>
        <w:t>g</w:t>
      </w:r>
      <w:r w:rsidR="002962EE">
        <w:t xml:space="preserve"> DDT)</w:t>
      </w:r>
      <w:r>
        <w:t>/</w:t>
      </w:r>
      <w:r w:rsidR="002962EE">
        <w:t>(</w:t>
      </w:r>
      <w:r>
        <w:t>kg</w:t>
      </w:r>
      <w:r w:rsidR="002962EE">
        <w:t xml:space="preserve"> de pez)</w:t>
      </w:r>
      <w:r>
        <w:t xml:space="preserve"> y </w:t>
      </w:r>
      <w:r w:rsidR="002962EE">
        <w:t>(</w:t>
      </w:r>
      <w:r>
        <w:t>mg</w:t>
      </w:r>
      <w:r w:rsidR="002962EE">
        <w:t xml:space="preserve"> DDT) </w:t>
      </w:r>
      <w:r>
        <w:t>/</w:t>
      </w:r>
      <w:r w:rsidR="002962EE">
        <w:t>(</w:t>
      </w:r>
      <w:r>
        <w:t>kg</w:t>
      </w:r>
      <w:r w:rsidR="002962EE">
        <w:t xml:space="preserve"> de pez)</w:t>
      </w:r>
      <w:r>
        <w:t>.</w:t>
      </w:r>
    </w:p>
    <w:p w14:paraId="61AB8513" w14:textId="77777777" w:rsidR="00344096" w:rsidRDefault="00344096" w:rsidP="00344096">
      <w:pPr>
        <w:rPr>
          <w:b/>
        </w:rPr>
      </w:pPr>
    </w:p>
    <w:p w14:paraId="668E7B81" w14:textId="7DBB1250" w:rsidR="00880D79" w:rsidRDefault="0069460B" w:rsidP="00880D79">
      <w:pPr>
        <w:rPr>
          <w:b/>
        </w:rPr>
      </w:pPr>
      <w:r>
        <w:rPr>
          <w:b/>
        </w:rPr>
        <w:t xml:space="preserve">Ejercicio N°3-A. </w:t>
      </w:r>
      <w:r w:rsidR="0065279D">
        <w:rPr>
          <w:b/>
        </w:rPr>
        <w:t>Recursos naturales</w:t>
      </w:r>
    </w:p>
    <w:p w14:paraId="668E7B82" w14:textId="77777777" w:rsidR="00216A41" w:rsidRDefault="00216A41" w:rsidP="00702446">
      <w:pPr>
        <w:rPr>
          <w:b/>
        </w:rPr>
      </w:pPr>
    </w:p>
    <w:p w14:paraId="668E7B83" w14:textId="2C50788A" w:rsidR="00880D79" w:rsidRDefault="00880D79" w:rsidP="00E939A2">
      <w:r w:rsidRPr="00E939A2">
        <w:rPr>
          <w:rFonts w:eastAsiaTheme="minorEastAsia"/>
        </w:rPr>
        <w:t xml:space="preserve">Si consideramos que actualmente un hogar consume en promedio </w:t>
      </w:r>
      <w:r>
        <w:t>255 kw.h</w:t>
      </w:r>
      <w:r w:rsidR="00E71DB4">
        <w:t>/mes</w:t>
      </w:r>
      <w:r>
        <w:t xml:space="preserve"> y </w:t>
      </w:r>
      <w:r w:rsidR="00E71DB4">
        <w:t xml:space="preserve">el </w:t>
      </w:r>
      <w:r>
        <w:t xml:space="preserve">costo de esa energía es de </w:t>
      </w:r>
      <w:r w:rsidR="000756A2">
        <w:t>150</w:t>
      </w:r>
      <w:r>
        <w:t xml:space="preserve"> $/kw.h</w:t>
      </w:r>
      <w:r w:rsidR="00E939A2">
        <w:t>:</w:t>
      </w:r>
    </w:p>
    <w:p w14:paraId="668E7B84" w14:textId="77777777" w:rsidR="00E939A2" w:rsidRPr="00E939A2" w:rsidRDefault="00E939A2" w:rsidP="00E939A2">
      <w:pPr>
        <w:rPr>
          <w:rFonts w:eastAsiaTheme="minorEastAsia"/>
        </w:rPr>
      </w:pPr>
    </w:p>
    <w:p w14:paraId="668E7B85" w14:textId="303290C8" w:rsidR="00880D79" w:rsidRDefault="00E939A2" w:rsidP="00880D79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Determinar el consumo y el costo</w:t>
      </w:r>
      <w:r w:rsidR="00880D79">
        <w:rPr>
          <w:rFonts w:eastAsiaTheme="minorEastAsia"/>
        </w:rPr>
        <w:t xml:space="preserve"> para dentro de 1 año </w:t>
      </w:r>
      <w:r>
        <w:rPr>
          <w:rFonts w:eastAsiaTheme="minorEastAsia"/>
        </w:rPr>
        <w:t>si</w:t>
      </w:r>
      <w:r w:rsidR="00880D79">
        <w:rPr>
          <w:rFonts w:eastAsiaTheme="minorEastAsia"/>
        </w:rPr>
        <w:t xml:space="preserve"> </w:t>
      </w:r>
      <w:r>
        <w:rPr>
          <w:rFonts w:eastAsiaTheme="minorEastAsia"/>
        </w:rPr>
        <w:t xml:space="preserve">el primero </w:t>
      </w:r>
      <w:r w:rsidR="00880D79">
        <w:rPr>
          <w:rFonts w:eastAsiaTheme="minorEastAsia"/>
        </w:rPr>
        <w:t xml:space="preserve">se incrementa un 18% y el costo un </w:t>
      </w:r>
      <w:r w:rsidR="00733652">
        <w:rPr>
          <w:rFonts w:eastAsiaTheme="minorEastAsia"/>
        </w:rPr>
        <w:t>1</w:t>
      </w:r>
      <w:r w:rsidR="00880D79">
        <w:rPr>
          <w:rFonts w:eastAsiaTheme="minorEastAsia"/>
        </w:rPr>
        <w:t>40%</w:t>
      </w:r>
      <w:r>
        <w:rPr>
          <w:rFonts w:eastAsiaTheme="minorEastAsia"/>
        </w:rPr>
        <w:t>.</w:t>
      </w:r>
    </w:p>
    <w:p w14:paraId="668E7B86" w14:textId="64E64F4E" w:rsidR="00880D79" w:rsidRPr="00880D79" w:rsidRDefault="008E2BE1" w:rsidP="00880D79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S</w:t>
      </w:r>
      <w:r w:rsidR="00880D79">
        <w:rPr>
          <w:rFonts w:eastAsiaTheme="minorEastAsia"/>
        </w:rPr>
        <w:t>uponiendo que logramos disminuir el consumo de energía un</w:t>
      </w:r>
      <w:r>
        <w:rPr>
          <w:rFonts w:eastAsiaTheme="minorEastAsia"/>
        </w:rPr>
        <w:t xml:space="preserve"> </w:t>
      </w:r>
      <w:r w:rsidR="00880D79">
        <w:rPr>
          <w:rFonts w:eastAsiaTheme="minorEastAsia"/>
        </w:rPr>
        <w:t>10%</w:t>
      </w:r>
      <w:r>
        <w:rPr>
          <w:rFonts w:eastAsiaTheme="minorEastAsia"/>
        </w:rPr>
        <w:t xml:space="preserve"> renovando el aire acondicionado</w:t>
      </w:r>
      <w:r w:rsidR="00A923DF">
        <w:rPr>
          <w:rFonts w:eastAsiaTheme="minorEastAsia"/>
        </w:rPr>
        <w:t xml:space="preserve">, ¿cuál sería el costo de la boleta el próximo año considerando el incremento de costo de </w:t>
      </w:r>
      <w:r w:rsidR="008A4B70">
        <w:rPr>
          <w:rFonts w:eastAsiaTheme="minorEastAsia"/>
        </w:rPr>
        <w:t>kw.h?</w:t>
      </w:r>
      <w:r w:rsidR="00880D79">
        <w:rPr>
          <w:rFonts w:eastAsiaTheme="minorEastAsia"/>
        </w:rPr>
        <w:t xml:space="preserve"> </w:t>
      </w:r>
    </w:p>
    <w:p w14:paraId="668E7B87" w14:textId="77777777" w:rsidR="00880D79" w:rsidRDefault="00880D79" w:rsidP="00FD2173">
      <w:pPr>
        <w:rPr>
          <w:rFonts w:eastAsiaTheme="minorEastAsia"/>
        </w:rPr>
      </w:pPr>
    </w:p>
    <w:p w14:paraId="668E7B89" w14:textId="77777777" w:rsidR="00A15EF3" w:rsidRDefault="00A15EF3" w:rsidP="00A15EF3">
      <w:pPr>
        <w:rPr>
          <w:b/>
        </w:rPr>
      </w:pPr>
    </w:p>
    <w:p w14:paraId="668E7B8A" w14:textId="77777777" w:rsidR="00A15EF3" w:rsidRDefault="00A15EF3" w:rsidP="00A15EF3">
      <w:pPr>
        <w:rPr>
          <w:rFonts w:eastAsiaTheme="minorEastAsia"/>
        </w:rPr>
      </w:pPr>
    </w:p>
    <w:p w14:paraId="1363A4C4" w14:textId="77777777" w:rsidR="005E4485" w:rsidRDefault="005E4485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BBD0BC4" w14:textId="170419EF" w:rsidR="00F95A63" w:rsidRDefault="00F95A63" w:rsidP="00F95A63">
      <w:pPr>
        <w:jc w:val="center"/>
        <w:rPr>
          <w:b/>
        </w:rPr>
      </w:pPr>
      <w:r>
        <w:rPr>
          <w:b/>
        </w:rPr>
        <w:lastRenderedPageBreak/>
        <w:t>PARTE B – DESARROLLO INDIVIDUAL</w:t>
      </w:r>
    </w:p>
    <w:p w14:paraId="668E7B8B" w14:textId="77777777" w:rsidR="00880D79" w:rsidRDefault="00880D79" w:rsidP="00FD2173">
      <w:pPr>
        <w:rPr>
          <w:rFonts w:eastAsiaTheme="minorEastAsia"/>
        </w:rPr>
      </w:pPr>
    </w:p>
    <w:p w14:paraId="70B4BCDB" w14:textId="2B3EDB47" w:rsidR="005E4485" w:rsidRPr="005363B1" w:rsidRDefault="005E4485" w:rsidP="005E4485">
      <w:pPr>
        <w:rPr>
          <w:b/>
        </w:rPr>
      </w:pPr>
      <w:r>
        <w:rPr>
          <w:b/>
        </w:rPr>
        <w:t xml:space="preserve">Ejercicio N°1-B. </w:t>
      </w:r>
      <w:r w:rsidRPr="005363B1">
        <w:rPr>
          <w:b/>
        </w:rPr>
        <w:t>Dinámica de poblaciones</w:t>
      </w:r>
    </w:p>
    <w:p w14:paraId="5C17C597" w14:textId="77777777" w:rsidR="005E4485" w:rsidRDefault="005E4485" w:rsidP="005E4485">
      <w:pPr>
        <w:rPr>
          <w:rFonts w:eastAsiaTheme="minorEastAsia"/>
        </w:rPr>
      </w:pPr>
    </w:p>
    <w:p w14:paraId="15F63271" w14:textId="1E7E6D30" w:rsidR="005E4485" w:rsidRDefault="005E4485" w:rsidP="005E4485">
      <w:pPr>
        <w:rPr>
          <w:rFonts w:eastAsiaTheme="minorEastAsia"/>
        </w:rPr>
      </w:pPr>
      <w:r>
        <w:rPr>
          <w:rFonts w:eastAsiaTheme="minorEastAsia"/>
        </w:rPr>
        <w:t>Suponiendo que la población de patos en el año 2014 fue de 50</w:t>
      </w:r>
      <w:r w:rsidR="00B5413A">
        <w:rPr>
          <w:rFonts w:eastAsiaTheme="minorEastAsia"/>
        </w:rPr>
        <w:t>0</w:t>
      </w:r>
      <w:r>
        <w:rPr>
          <w:rFonts w:eastAsiaTheme="minorEastAsia"/>
        </w:rPr>
        <w:t xml:space="preserve"> por ha. Considerando una capacidad de carga K=1200 y una tasa de reproducción r = 0,20/año, determinar el número de patos para el año 2024.</w:t>
      </w:r>
    </w:p>
    <w:p w14:paraId="477AC675" w14:textId="77777777" w:rsidR="006A16AB" w:rsidRDefault="006A16AB" w:rsidP="005E4485">
      <w:pPr>
        <w:rPr>
          <w:rFonts w:eastAsiaTheme="minorEastAsia"/>
        </w:rPr>
      </w:pPr>
    </w:p>
    <w:p w14:paraId="73F8B3D1" w14:textId="35C56856" w:rsidR="00330344" w:rsidRPr="00330344" w:rsidRDefault="00330344" w:rsidP="005E4485">
      <w:pPr>
        <w:rPr>
          <w:b/>
        </w:rPr>
      </w:pPr>
      <w:r>
        <w:rPr>
          <w:b/>
        </w:rPr>
        <w:t>Ejercicio N°2-B. Bioacumulación</w:t>
      </w:r>
    </w:p>
    <w:p w14:paraId="4239A166" w14:textId="77777777" w:rsidR="00330344" w:rsidRDefault="00330344" w:rsidP="005E4485">
      <w:pPr>
        <w:rPr>
          <w:rFonts w:eastAsiaTheme="minorEastAsia"/>
        </w:rPr>
      </w:pPr>
    </w:p>
    <w:p w14:paraId="3B8B968F" w14:textId="526C2967" w:rsidR="00330344" w:rsidRPr="00363BC7" w:rsidRDefault="00330344" w:rsidP="00330344">
      <w:r w:rsidRPr="00363BC7">
        <w:t xml:space="preserve">La concentración de </w:t>
      </w:r>
      <w:r>
        <w:t xml:space="preserve">pentaclorofenol medida en un estanque es de 42,8 </w:t>
      </w:r>
      <w:r w:rsidRPr="002E09E1">
        <w:rPr>
          <w:rFonts w:ascii="Symbol" w:hAnsi="Symbol"/>
        </w:rPr>
        <w:t></w:t>
      </w:r>
      <w:r>
        <w:t xml:space="preserve">g/l y un estudio de los peces de dicho estanque revela que la concentración esperada de lípidos en ellos es de 30.600 </w:t>
      </w:r>
      <w:r w:rsidRPr="002E09E1">
        <w:rPr>
          <w:rFonts w:ascii="Symbol" w:hAnsi="Symbol"/>
        </w:rPr>
        <w:t></w:t>
      </w:r>
      <w:r>
        <w:t>g/</w:t>
      </w:r>
      <w:r w:rsidR="008E4E00">
        <w:t>kg</w:t>
      </w:r>
      <w:r>
        <w:t>. ¿Cuál es el factor de bioconcentración de esos peces?</w:t>
      </w:r>
    </w:p>
    <w:p w14:paraId="7676A3CD" w14:textId="732F7A50" w:rsidR="006A16AB" w:rsidRDefault="006A16AB" w:rsidP="005E4485">
      <w:pPr>
        <w:rPr>
          <w:rFonts w:eastAsiaTheme="minorEastAsia"/>
        </w:rPr>
      </w:pPr>
    </w:p>
    <w:p w14:paraId="6E6E94E6" w14:textId="6D21B859" w:rsidR="00383DBE" w:rsidRDefault="00383DBE" w:rsidP="00383DBE">
      <w:pPr>
        <w:rPr>
          <w:b/>
        </w:rPr>
      </w:pPr>
      <w:r>
        <w:rPr>
          <w:b/>
        </w:rPr>
        <w:t>Ejercicio N°3-B. Recursos naturales</w:t>
      </w:r>
    </w:p>
    <w:p w14:paraId="668E7B8C" w14:textId="77777777" w:rsidR="00A15EF3" w:rsidRDefault="00A15EF3" w:rsidP="008B10EB"/>
    <w:p w14:paraId="5C77048D" w14:textId="7207DC02" w:rsidR="00383DBE" w:rsidRDefault="00383DBE" w:rsidP="00383DBE">
      <w:r>
        <w:rPr>
          <w:rFonts w:eastAsiaTheme="minorEastAsia"/>
        </w:rPr>
        <w:t>En Mendoza</w:t>
      </w:r>
      <w:r w:rsidRPr="00E939A2">
        <w:rPr>
          <w:rFonts w:eastAsiaTheme="minorEastAsia"/>
        </w:rPr>
        <w:t xml:space="preserve"> </w:t>
      </w:r>
      <w:r>
        <w:rPr>
          <w:rFonts w:eastAsiaTheme="minorEastAsia"/>
        </w:rPr>
        <w:t xml:space="preserve">se </w:t>
      </w:r>
      <w:r w:rsidRPr="00E939A2">
        <w:rPr>
          <w:rFonts w:eastAsiaTheme="minorEastAsia"/>
        </w:rPr>
        <w:t>consume en promedio</w:t>
      </w:r>
      <w:r w:rsidR="000E5219">
        <w:rPr>
          <w:rFonts w:eastAsiaTheme="minorEastAsia"/>
        </w:rPr>
        <w:t xml:space="preserve"> 400 litros de agua potable por persona por día. La OMS recomienda un suministro de 100 litros de agua potable por</w:t>
      </w:r>
      <w:r w:rsidR="007913AB">
        <w:rPr>
          <w:rFonts w:eastAsiaTheme="minorEastAsia"/>
        </w:rPr>
        <w:t xml:space="preserve"> persona por</w:t>
      </w:r>
      <w:r w:rsidR="000E5219">
        <w:rPr>
          <w:rFonts w:eastAsiaTheme="minorEastAsia"/>
        </w:rPr>
        <w:t xml:space="preserve"> día</w:t>
      </w:r>
      <w:r w:rsidR="007913AB">
        <w:rPr>
          <w:rFonts w:eastAsiaTheme="minorEastAsia"/>
        </w:rPr>
        <w:t xml:space="preserve"> </w:t>
      </w:r>
      <w:r w:rsidR="00B75D61">
        <w:rPr>
          <w:rFonts w:eastAsiaTheme="minorEastAsia"/>
        </w:rPr>
        <w:t>en zonas áridas</w:t>
      </w:r>
      <w:r w:rsidR="007913AB">
        <w:rPr>
          <w:rFonts w:eastAsiaTheme="minorEastAsia"/>
        </w:rPr>
        <w:t xml:space="preserve">. </w:t>
      </w:r>
      <w:r w:rsidR="000F399F">
        <w:rPr>
          <w:rFonts w:eastAsiaTheme="minorEastAsia"/>
        </w:rPr>
        <w:t xml:space="preserve">Considerando una población de </w:t>
      </w:r>
      <w:r w:rsidR="00A85272">
        <w:rPr>
          <w:rFonts w:eastAsiaTheme="minorEastAsia"/>
        </w:rPr>
        <w:t>1</w:t>
      </w:r>
      <w:r w:rsidR="000F399F">
        <w:rPr>
          <w:rFonts w:eastAsiaTheme="minorEastAsia"/>
        </w:rPr>
        <w:t xml:space="preserve"> mill</w:t>
      </w:r>
      <w:r w:rsidR="00A85272">
        <w:rPr>
          <w:rFonts w:eastAsiaTheme="minorEastAsia"/>
        </w:rPr>
        <w:t>ón</w:t>
      </w:r>
      <w:r w:rsidR="000F399F">
        <w:rPr>
          <w:rFonts w:eastAsiaTheme="minorEastAsia"/>
        </w:rPr>
        <w:t xml:space="preserve"> de habitantes</w:t>
      </w:r>
      <w:r w:rsidR="00A85272">
        <w:rPr>
          <w:rFonts w:eastAsiaTheme="minorEastAsia"/>
        </w:rPr>
        <w:t xml:space="preserve"> en el Gran Mendoza</w:t>
      </w:r>
      <w:r>
        <w:t>:</w:t>
      </w:r>
    </w:p>
    <w:p w14:paraId="5CF68191" w14:textId="77777777" w:rsidR="00383DBE" w:rsidRPr="00E939A2" w:rsidRDefault="00383DBE" w:rsidP="00383DBE">
      <w:pPr>
        <w:rPr>
          <w:rFonts w:eastAsiaTheme="minorEastAsia"/>
        </w:rPr>
      </w:pPr>
    </w:p>
    <w:p w14:paraId="77D58A8A" w14:textId="05699033" w:rsidR="00383DBE" w:rsidRDefault="000F399F" w:rsidP="00383DBE">
      <w:pPr>
        <w:pStyle w:val="Prrafodelista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¿Cuál es el volumen de agua </w:t>
      </w:r>
      <w:r w:rsidR="008C0E15">
        <w:rPr>
          <w:rFonts w:eastAsiaTheme="minorEastAsia"/>
        </w:rPr>
        <w:t xml:space="preserve">potable </w:t>
      </w:r>
      <w:r>
        <w:rPr>
          <w:rFonts w:eastAsiaTheme="minorEastAsia"/>
        </w:rPr>
        <w:t>diario, mensual y anual que podría ahorrarse</w:t>
      </w:r>
      <w:r w:rsidR="008C0E15">
        <w:rPr>
          <w:rFonts w:eastAsiaTheme="minorEastAsia"/>
        </w:rPr>
        <w:t>?</w:t>
      </w:r>
    </w:p>
    <w:p w14:paraId="5630BB6E" w14:textId="75C68208" w:rsidR="00383DBE" w:rsidRPr="00880D79" w:rsidRDefault="00BA1C31" w:rsidP="00383DBE">
      <w:pPr>
        <w:pStyle w:val="Prrafodelista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Si el volumen del embalse Potrerillos es de 400 </w:t>
      </w:r>
      <w:r w:rsidR="00AA13A5">
        <w:rPr>
          <w:rFonts w:eastAsiaTheme="minorEastAsia"/>
        </w:rPr>
        <w:t>hm</w:t>
      </w:r>
      <w:r w:rsidR="00AA13A5">
        <w:rPr>
          <w:rFonts w:eastAsiaTheme="minorEastAsia"/>
          <w:vertAlign w:val="superscript"/>
        </w:rPr>
        <w:t xml:space="preserve">3 </w:t>
      </w:r>
      <w:r w:rsidR="00954FEB">
        <w:rPr>
          <w:rFonts w:eastAsiaTheme="minorEastAsia"/>
        </w:rPr>
        <w:t>¿</w:t>
      </w:r>
      <w:r w:rsidR="00AA13A5">
        <w:rPr>
          <w:rFonts w:eastAsiaTheme="minorEastAsia"/>
        </w:rPr>
        <w:t>q</w:t>
      </w:r>
      <w:r w:rsidR="00954FEB">
        <w:rPr>
          <w:rFonts w:eastAsiaTheme="minorEastAsia"/>
        </w:rPr>
        <w:t xml:space="preserve">ué </w:t>
      </w:r>
      <w:r w:rsidR="00AA13A5">
        <w:rPr>
          <w:rFonts w:eastAsiaTheme="minorEastAsia"/>
        </w:rPr>
        <w:t>volumen del embalse representa el ahorro anual?</w:t>
      </w:r>
    </w:p>
    <w:p w14:paraId="269348FF" w14:textId="77777777" w:rsidR="00383DBE" w:rsidRDefault="00383DBE" w:rsidP="00383DBE">
      <w:pPr>
        <w:rPr>
          <w:rFonts w:eastAsiaTheme="minorEastAsia"/>
        </w:rPr>
      </w:pPr>
    </w:p>
    <w:p w14:paraId="33C30A83" w14:textId="77777777" w:rsidR="00383DBE" w:rsidRDefault="00383DBE" w:rsidP="00965D81">
      <w:pPr>
        <w:rPr>
          <w:b/>
        </w:rPr>
      </w:pPr>
    </w:p>
    <w:p w14:paraId="668E7B8D" w14:textId="58043070" w:rsidR="00965D81" w:rsidRPr="00242A1B" w:rsidRDefault="00965D81" w:rsidP="00965D81">
      <w:pPr>
        <w:rPr>
          <w:b/>
        </w:rPr>
      </w:pPr>
      <w:r w:rsidRPr="00242A1B">
        <w:rPr>
          <w:b/>
        </w:rPr>
        <w:t>Bibliografía de referencia</w:t>
      </w:r>
    </w:p>
    <w:p w14:paraId="668E7B8E" w14:textId="77777777" w:rsidR="00965D81" w:rsidRDefault="00965D81" w:rsidP="00965D81"/>
    <w:p w14:paraId="668E7B8F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Ingeniería Ambiental, Fundamentos, sustentabilidad, Diseño. </w:t>
      </w:r>
      <w:r w:rsidRPr="001332A3">
        <w:rPr>
          <w:lang w:val="en-US"/>
        </w:rPr>
        <w:t>J. Mihelcic, J. Zimmerman</w:t>
      </w:r>
      <w:r w:rsidR="002A6D56" w:rsidRPr="001332A3">
        <w:rPr>
          <w:lang w:val="en-US"/>
        </w:rPr>
        <w:t xml:space="preserve">. Editorial Alfaomega. </w:t>
      </w:r>
      <w:r w:rsidR="002A6D56">
        <w:t>2012</w:t>
      </w:r>
    </w:p>
    <w:p w14:paraId="668E7B90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>Ingeniería y Ciencias Ambientales. D.Mackenzie, S. Masten</w:t>
      </w:r>
      <w:r w:rsidR="002A6D56">
        <w:t>. Editorial Mc Graw Hill. 2004</w:t>
      </w:r>
    </w:p>
    <w:p w14:paraId="668E7B91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Ciencia Ambiental, desarrollo sostenible, un enfoque integral. </w:t>
      </w:r>
      <w:r w:rsidRPr="00A11970">
        <w:rPr>
          <w:lang w:val="en-US"/>
        </w:rPr>
        <w:t>G. Tyler Miller</w:t>
      </w:r>
      <w:r w:rsidR="002A6D56" w:rsidRPr="00A11970">
        <w:rPr>
          <w:lang w:val="en-US"/>
        </w:rPr>
        <w:t xml:space="preserve">. Editorial Thomson. </w:t>
      </w:r>
      <w:r w:rsidR="002A6D56">
        <w:t>2007</w:t>
      </w:r>
    </w:p>
    <w:p w14:paraId="668E7B92" w14:textId="77777777" w:rsidR="00965D81" w:rsidRDefault="00965D81" w:rsidP="00965D81">
      <w:pPr>
        <w:pStyle w:val="Prrafodelista"/>
        <w:numPr>
          <w:ilvl w:val="0"/>
          <w:numId w:val="3"/>
        </w:numPr>
      </w:pPr>
      <w:r w:rsidRPr="001332A3">
        <w:rPr>
          <w:lang w:val="pt-BR"/>
        </w:rPr>
        <w:t>Biología</w:t>
      </w:r>
      <w:r w:rsidR="00242A1B" w:rsidRPr="001332A3">
        <w:rPr>
          <w:lang w:val="pt-BR"/>
        </w:rPr>
        <w:t>. H.Curtis, N S Barnes</w:t>
      </w:r>
      <w:r w:rsidR="002A6D56" w:rsidRPr="001332A3">
        <w:rPr>
          <w:lang w:val="pt-BR"/>
        </w:rPr>
        <w:t xml:space="preserve">.  </w:t>
      </w:r>
      <w:r w:rsidR="002A6D56">
        <w:t>Editorial Médica Panamericana. 2001</w:t>
      </w:r>
    </w:p>
    <w:p w14:paraId="668E7B93" w14:textId="77777777" w:rsidR="004C4762" w:rsidRDefault="004C4762" w:rsidP="004C4762"/>
    <w:p w14:paraId="668E7B94" w14:textId="77777777" w:rsidR="004C4762" w:rsidRDefault="004C4762" w:rsidP="004C4762"/>
    <w:p w14:paraId="668E7B95" w14:textId="77777777" w:rsidR="004C4762" w:rsidRDefault="004C4762" w:rsidP="004C4762"/>
    <w:p w14:paraId="668E7B96" w14:textId="77777777" w:rsidR="00FB162B" w:rsidRDefault="00FB162B" w:rsidP="004C4762"/>
    <w:sectPr w:rsidR="00FB162B" w:rsidSect="002A6D56">
      <w:headerReference w:type="default" r:id="rId8"/>
      <w:footerReference w:type="default" r:id="rId9"/>
      <w:pgSz w:w="11907" w:h="16840" w:code="9"/>
      <w:pgMar w:top="1418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7BB9" w14:textId="77777777" w:rsidR="00BA2D45" w:rsidRDefault="00BA2D45" w:rsidP="00D6738C">
      <w:r>
        <w:separator/>
      </w:r>
    </w:p>
  </w:endnote>
  <w:endnote w:type="continuationSeparator" w:id="0">
    <w:p w14:paraId="668E7BBA" w14:textId="77777777" w:rsidR="00BA2D45" w:rsidRDefault="00BA2D45" w:rsidP="00D6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7BC0" w14:textId="77777777" w:rsidR="002A6D56" w:rsidRPr="002A6D56" w:rsidRDefault="002A6D56">
    <w:pPr>
      <w:pStyle w:val="Piedepgina"/>
      <w:jc w:val="right"/>
      <w:rPr>
        <w:sz w:val="20"/>
        <w:szCs w:val="20"/>
      </w:rPr>
    </w:pPr>
    <w:r w:rsidRPr="002A6D56">
      <w:rPr>
        <w:sz w:val="20"/>
        <w:szCs w:val="20"/>
      </w:rPr>
      <w:t xml:space="preserve">TP Nº 1  -  pág.  </w:t>
    </w:r>
    <w:sdt>
      <w:sdtPr>
        <w:rPr>
          <w:sz w:val="20"/>
          <w:szCs w:val="20"/>
        </w:rPr>
        <w:id w:val="-723674202"/>
        <w:docPartObj>
          <w:docPartGallery w:val="Page Numbers (Bottom of Page)"/>
          <w:docPartUnique/>
        </w:docPartObj>
      </w:sdtPr>
      <w:sdtEndPr/>
      <w:sdtContent>
        <w:r w:rsidRPr="002A6D56">
          <w:rPr>
            <w:sz w:val="20"/>
            <w:szCs w:val="20"/>
          </w:rPr>
          <w:fldChar w:fldCharType="begin"/>
        </w:r>
        <w:r w:rsidRPr="002A6D56">
          <w:rPr>
            <w:sz w:val="20"/>
            <w:szCs w:val="20"/>
          </w:rPr>
          <w:instrText>PAGE   \* MERGEFORMAT</w:instrText>
        </w:r>
        <w:r w:rsidRPr="002A6D56">
          <w:rPr>
            <w:sz w:val="20"/>
            <w:szCs w:val="20"/>
          </w:rPr>
          <w:fldChar w:fldCharType="separate"/>
        </w:r>
        <w:r w:rsidR="00566403" w:rsidRPr="00566403">
          <w:rPr>
            <w:noProof/>
            <w:sz w:val="20"/>
            <w:szCs w:val="20"/>
            <w:lang w:val="es-ES"/>
          </w:rPr>
          <w:t>2</w:t>
        </w:r>
        <w:r w:rsidRPr="002A6D56">
          <w:rPr>
            <w:sz w:val="20"/>
            <w:szCs w:val="20"/>
          </w:rPr>
          <w:fldChar w:fldCharType="end"/>
        </w:r>
      </w:sdtContent>
    </w:sdt>
  </w:p>
  <w:p w14:paraId="668E7BC1" w14:textId="77777777" w:rsidR="002A6D56" w:rsidRDefault="002A6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7BB7" w14:textId="77777777" w:rsidR="00BA2D45" w:rsidRDefault="00BA2D45" w:rsidP="00D6738C">
      <w:r>
        <w:separator/>
      </w:r>
    </w:p>
  </w:footnote>
  <w:footnote w:type="continuationSeparator" w:id="0">
    <w:p w14:paraId="668E7BB8" w14:textId="77777777" w:rsidR="00BA2D45" w:rsidRDefault="00BA2D45" w:rsidP="00D6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8" w:type="dxa"/>
      <w:tblLook w:val="04A0" w:firstRow="1" w:lastRow="0" w:firstColumn="1" w:lastColumn="0" w:noHBand="0" w:noVBand="1"/>
    </w:tblPr>
    <w:tblGrid>
      <w:gridCol w:w="6937"/>
      <w:gridCol w:w="2569"/>
    </w:tblGrid>
    <w:tr w:rsidR="00D6738C" w14:paraId="668E7BBE" w14:textId="77777777" w:rsidTr="00CF6D68">
      <w:trPr>
        <w:trHeight w:val="291"/>
      </w:trPr>
      <w:tc>
        <w:tcPr>
          <w:tcW w:w="5702" w:type="dxa"/>
        </w:tcPr>
        <w:p w14:paraId="668E7BBB" w14:textId="23189CD6" w:rsidR="002A6D56" w:rsidRPr="00C44E2F" w:rsidRDefault="002A6D56" w:rsidP="002A6D56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8E7BC2" wp14:editId="0781220C">
                    <wp:simplePos x="0" y="0"/>
                    <wp:positionH relativeFrom="column">
                      <wp:posOffset>3912137</wp:posOffset>
                    </wp:positionH>
                    <wp:positionV relativeFrom="paragraph">
                      <wp:posOffset>-2491</wp:posOffset>
                    </wp:positionV>
                    <wp:extent cx="2086708" cy="429260"/>
                    <wp:effectExtent l="0" t="0" r="8890" b="8890"/>
                    <wp:wrapNone/>
                    <wp:docPr id="9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6708" cy="429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E7BC7" w14:textId="19D44744" w:rsidR="002A6D56" w:rsidRPr="00D52C4A" w:rsidRDefault="002A6D56" w:rsidP="002A6D56">
                                <w:pP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</w:pP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C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Á</w:t>
                                </w: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TEDRA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:</w:t>
                                </w:r>
                                <w:r w:rsidR="00DE3689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 xml:space="preserve"> FUNDAMENTOS AMBIENTALES EN INGENIERÍA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8E7BC2" id="Rectangle 5" o:spid="_x0000_s1027" style="position:absolute;left:0;text-align:left;margin-left:308.05pt;margin-top:-.2pt;width:164.3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" stroked="f">
                    <v:textbox>
                      <w:txbxContent>
                        <w:p w14:paraId="668E7BC7" w14:textId="19D44744" w:rsidR="002A6D56" w:rsidRPr="00D52C4A" w:rsidRDefault="002A6D56" w:rsidP="002A6D56">
                          <w:pP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</w:pP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C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Á</w:t>
                          </w: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TEDRA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:</w:t>
                          </w:r>
                          <w:r w:rsidR="00DE3689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 xml:space="preserve"> FUNDAMENTOS AMBIENTALES EN INGENIERÍA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68E7BBC" w14:textId="3007A9F4" w:rsidR="00D6738C" w:rsidRPr="00C44E2F" w:rsidRDefault="00DE3689" w:rsidP="00D6738C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w:drawing>
              <wp:inline distT="0" distB="0" distL="0" distR="0" wp14:anchorId="310FB63B" wp14:editId="42CEBEF0">
                <wp:extent cx="4249013" cy="413468"/>
                <wp:effectExtent l="19050" t="0" r="0" b="0"/>
                <wp:docPr id="2" name="Imagen 1" descr="ENC H2 CE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NC H2 CE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9013" cy="4134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14:paraId="668E7BBD" w14:textId="77777777" w:rsidR="00D6738C" w:rsidRPr="00C44E2F" w:rsidRDefault="00D6738C" w:rsidP="00D6738C">
          <w:pPr>
            <w:ind w:left="819"/>
            <w:rPr>
              <w:rFonts w:ascii="Frutiger LT Std 47 Light Cn" w:hAnsi="Frutiger LT Std 47 Light Cn"/>
              <w:sz w:val="10"/>
              <w:szCs w:val="10"/>
            </w:rPr>
          </w:pPr>
        </w:p>
      </w:tc>
    </w:tr>
  </w:tbl>
  <w:p w14:paraId="668E7BBF" w14:textId="77777777" w:rsidR="00D6738C" w:rsidRDefault="00D673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CF9"/>
    <w:multiLevelType w:val="hybridMultilevel"/>
    <w:tmpl w:val="58A650C2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9F5"/>
    <w:multiLevelType w:val="hybridMultilevel"/>
    <w:tmpl w:val="A3EAE652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169"/>
    <w:multiLevelType w:val="hybridMultilevel"/>
    <w:tmpl w:val="B1CEBAE6"/>
    <w:lvl w:ilvl="0" w:tplc="5016BA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1136"/>
    <w:multiLevelType w:val="hybridMultilevel"/>
    <w:tmpl w:val="58A650C2"/>
    <w:lvl w:ilvl="0" w:tplc="CE02C4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129C"/>
    <w:multiLevelType w:val="hybridMultilevel"/>
    <w:tmpl w:val="4CBE82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B2B07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F69AB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47020"/>
    <w:multiLevelType w:val="hybridMultilevel"/>
    <w:tmpl w:val="FB56A16A"/>
    <w:lvl w:ilvl="0" w:tplc="1CFA1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E4101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37EF"/>
    <w:multiLevelType w:val="hybridMultilevel"/>
    <w:tmpl w:val="D7C403E4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108C2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4799">
    <w:abstractNumId w:val="9"/>
  </w:num>
  <w:num w:numId="2" w16cid:durableId="1400404942">
    <w:abstractNumId w:val="10"/>
  </w:num>
  <w:num w:numId="3" w16cid:durableId="1233003743">
    <w:abstractNumId w:val="8"/>
  </w:num>
  <w:num w:numId="4" w16cid:durableId="926768621">
    <w:abstractNumId w:val="6"/>
  </w:num>
  <w:num w:numId="5" w16cid:durableId="1649237548">
    <w:abstractNumId w:val="5"/>
  </w:num>
  <w:num w:numId="6" w16cid:durableId="2020740540">
    <w:abstractNumId w:val="4"/>
  </w:num>
  <w:num w:numId="7" w16cid:durableId="550309341">
    <w:abstractNumId w:val="7"/>
  </w:num>
  <w:num w:numId="8" w16cid:durableId="530801560">
    <w:abstractNumId w:val="1"/>
  </w:num>
  <w:num w:numId="9" w16cid:durableId="361712859">
    <w:abstractNumId w:val="2"/>
  </w:num>
  <w:num w:numId="10" w16cid:durableId="1798374465">
    <w:abstractNumId w:val="3"/>
  </w:num>
  <w:num w:numId="11" w16cid:durableId="176503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825"/>
    <w:rsid w:val="00056B33"/>
    <w:rsid w:val="00061B6D"/>
    <w:rsid w:val="00071794"/>
    <w:rsid w:val="000756A2"/>
    <w:rsid w:val="000803F7"/>
    <w:rsid w:val="000806CA"/>
    <w:rsid w:val="00082675"/>
    <w:rsid w:val="00092EDC"/>
    <w:rsid w:val="00093310"/>
    <w:rsid w:val="00094D6E"/>
    <w:rsid w:val="000A1182"/>
    <w:rsid w:val="000B36BA"/>
    <w:rsid w:val="000B7928"/>
    <w:rsid w:val="000C1846"/>
    <w:rsid w:val="000C365F"/>
    <w:rsid w:val="000E3EED"/>
    <w:rsid w:val="000E5219"/>
    <w:rsid w:val="000F399F"/>
    <w:rsid w:val="000F6BEC"/>
    <w:rsid w:val="00111345"/>
    <w:rsid w:val="001130AC"/>
    <w:rsid w:val="00132D13"/>
    <w:rsid w:val="001332A3"/>
    <w:rsid w:val="00145697"/>
    <w:rsid w:val="00150720"/>
    <w:rsid w:val="00165365"/>
    <w:rsid w:val="00167BC0"/>
    <w:rsid w:val="00180606"/>
    <w:rsid w:val="001B2EF2"/>
    <w:rsid w:val="001C6CE8"/>
    <w:rsid w:val="001F0D3B"/>
    <w:rsid w:val="001F42A0"/>
    <w:rsid w:val="00200B35"/>
    <w:rsid w:val="0021358E"/>
    <w:rsid w:val="00216A41"/>
    <w:rsid w:val="0024008C"/>
    <w:rsid w:val="00242A1B"/>
    <w:rsid w:val="002511FB"/>
    <w:rsid w:val="00253DE0"/>
    <w:rsid w:val="00256D93"/>
    <w:rsid w:val="00286359"/>
    <w:rsid w:val="002952B9"/>
    <w:rsid w:val="002962EE"/>
    <w:rsid w:val="002A6D56"/>
    <w:rsid w:val="002C5CF2"/>
    <w:rsid w:val="002E09E1"/>
    <w:rsid w:val="002E151B"/>
    <w:rsid w:val="002E5392"/>
    <w:rsid w:val="002F27A8"/>
    <w:rsid w:val="002F2946"/>
    <w:rsid w:val="002F6984"/>
    <w:rsid w:val="00330344"/>
    <w:rsid w:val="00330B28"/>
    <w:rsid w:val="00344096"/>
    <w:rsid w:val="00363BC7"/>
    <w:rsid w:val="00381247"/>
    <w:rsid w:val="00383DBE"/>
    <w:rsid w:val="00390C1F"/>
    <w:rsid w:val="0039157E"/>
    <w:rsid w:val="0039685A"/>
    <w:rsid w:val="003A33B9"/>
    <w:rsid w:val="003A5A2C"/>
    <w:rsid w:val="003C6415"/>
    <w:rsid w:val="003C70A9"/>
    <w:rsid w:val="003F3A70"/>
    <w:rsid w:val="00410568"/>
    <w:rsid w:val="00417924"/>
    <w:rsid w:val="004265D6"/>
    <w:rsid w:val="00453D39"/>
    <w:rsid w:val="00492915"/>
    <w:rsid w:val="004A3035"/>
    <w:rsid w:val="004A5DE7"/>
    <w:rsid w:val="004B598B"/>
    <w:rsid w:val="004C4762"/>
    <w:rsid w:val="004D53CE"/>
    <w:rsid w:val="004D5735"/>
    <w:rsid w:val="004E15D7"/>
    <w:rsid w:val="004E309B"/>
    <w:rsid w:val="0052234B"/>
    <w:rsid w:val="005363B1"/>
    <w:rsid w:val="00555F02"/>
    <w:rsid w:val="00562CD9"/>
    <w:rsid w:val="00565A34"/>
    <w:rsid w:val="00566403"/>
    <w:rsid w:val="00570177"/>
    <w:rsid w:val="00594A06"/>
    <w:rsid w:val="00596C0B"/>
    <w:rsid w:val="005B3386"/>
    <w:rsid w:val="005B43CC"/>
    <w:rsid w:val="005D5FDC"/>
    <w:rsid w:val="005E4485"/>
    <w:rsid w:val="005F306E"/>
    <w:rsid w:val="005F3AFE"/>
    <w:rsid w:val="00611F0A"/>
    <w:rsid w:val="0062338C"/>
    <w:rsid w:val="00630AA2"/>
    <w:rsid w:val="00640F43"/>
    <w:rsid w:val="0064457A"/>
    <w:rsid w:val="0065215D"/>
    <w:rsid w:val="0065279D"/>
    <w:rsid w:val="0069460B"/>
    <w:rsid w:val="006A1575"/>
    <w:rsid w:val="006A16AB"/>
    <w:rsid w:val="006B4AC2"/>
    <w:rsid w:val="006C2CCE"/>
    <w:rsid w:val="006D381C"/>
    <w:rsid w:val="00702446"/>
    <w:rsid w:val="00707B1C"/>
    <w:rsid w:val="007162C2"/>
    <w:rsid w:val="00720B59"/>
    <w:rsid w:val="00733652"/>
    <w:rsid w:val="00734426"/>
    <w:rsid w:val="0077196E"/>
    <w:rsid w:val="00773077"/>
    <w:rsid w:val="00774E66"/>
    <w:rsid w:val="007800F4"/>
    <w:rsid w:val="007913AB"/>
    <w:rsid w:val="007A1ABB"/>
    <w:rsid w:val="007B3B91"/>
    <w:rsid w:val="007B7631"/>
    <w:rsid w:val="007C2CD0"/>
    <w:rsid w:val="007C2EB4"/>
    <w:rsid w:val="007D22D5"/>
    <w:rsid w:val="007E0FBC"/>
    <w:rsid w:val="007E574C"/>
    <w:rsid w:val="007F40B2"/>
    <w:rsid w:val="007F58B8"/>
    <w:rsid w:val="00845F3F"/>
    <w:rsid w:val="00854C8E"/>
    <w:rsid w:val="008620BD"/>
    <w:rsid w:val="00880D79"/>
    <w:rsid w:val="008A4B70"/>
    <w:rsid w:val="008B10EB"/>
    <w:rsid w:val="008C0D58"/>
    <w:rsid w:val="008C0E15"/>
    <w:rsid w:val="008D0675"/>
    <w:rsid w:val="008D3B5D"/>
    <w:rsid w:val="008E2BE1"/>
    <w:rsid w:val="008E320D"/>
    <w:rsid w:val="008E4E00"/>
    <w:rsid w:val="009118BB"/>
    <w:rsid w:val="0093467D"/>
    <w:rsid w:val="00940F4A"/>
    <w:rsid w:val="00954FEB"/>
    <w:rsid w:val="00965D81"/>
    <w:rsid w:val="009711D3"/>
    <w:rsid w:val="00975F21"/>
    <w:rsid w:val="009800C5"/>
    <w:rsid w:val="009C070E"/>
    <w:rsid w:val="009E1F1C"/>
    <w:rsid w:val="009E29C3"/>
    <w:rsid w:val="009F17BE"/>
    <w:rsid w:val="00A02884"/>
    <w:rsid w:val="00A11970"/>
    <w:rsid w:val="00A15ECA"/>
    <w:rsid w:val="00A15EF3"/>
    <w:rsid w:val="00A17EC6"/>
    <w:rsid w:val="00A209F4"/>
    <w:rsid w:val="00A30BF8"/>
    <w:rsid w:val="00A30C39"/>
    <w:rsid w:val="00A45A5D"/>
    <w:rsid w:val="00A555D6"/>
    <w:rsid w:val="00A5591C"/>
    <w:rsid w:val="00A85272"/>
    <w:rsid w:val="00A864F1"/>
    <w:rsid w:val="00A923DF"/>
    <w:rsid w:val="00AA13A5"/>
    <w:rsid w:val="00AB66B9"/>
    <w:rsid w:val="00AC1FAF"/>
    <w:rsid w:val="00AC2EDF"/>
    <w:rsid w:val="00AF221F"/>
    <w:rsid w:val="00B3712E"/>
    <w:rsid w:val="00B5413A"/>
    <w:rsid w:val="00B71D06"/>
    <w:rsid w:val="00B75D61"/>
    <w:rsid w:val="00B95528"/>
    <w:rsid w:val="00BA1C31"/>
    <w:rsid w:val="00BA2D45"/>
    <w:rsid w:val="00BB4C7D"/>
    <w:rsid w:val="00BB730E"/>
    <w:rsid w:val="00BC551C"/>
    <w:rsid w:val="00BF1237"/>
    <w:rsid w:val="00BF5A6F"/>
    <w:rsid w:val="00BF68AC"/>
    <w:rsid w:val="00C30101"/>
    <w:rsid w:val="00C53338"/>
    <w:rsid w:val="00C5559E"/>
    <w:rsid w:val="00C73F50"/>
    <w:rsid w:val="00C74622"/>
    <w:rsid w:val="00C75CDE"/>
    <w:rsid w:val="00C85C3F"/>
    <w:rsid w:val="00CA78BB"/>
    <w:rsid w:val="00CB0C0E"/>
    <w:rsid w:val="00CC31B4"/>
    <w:rsid w:val="00CC3A4C"/>
    <w:rsid w:val="00CC6E7B"/>
    <w:rsid w:val="00CE6EA9"/>
    <w:rsid w:val="00D1218C"/>
    <w:rsid w:val="00D21F2A"/>
    <w:rsid w:val="00D23AD1"/>
    <w:rsid w:val="00D47FC2"/>
    <w:rsid w:val="00D505DC"/>
    <w:rsid w:val="00D5468A"/>
    <w:rsid w:val="00D635C1"/>
    <w:rsid w:val="00D6738C"/>
    <w:rsid w:val="00D96509"/>
    <w:rsid w:val="00DC1C25"/>
    <w:rsid w:val="00DD52D1"/>
    <w:rsid w:val="00DE3689"/>
    <w:rsid w:val="00E117DE"/>
    <w:rsid w:val="00E3015B"/>
    <w:rsid w:val="00E3453F"/>
    <w:rsid w:val="00E71DB4"/>
    <w:rsid w:val="00E854CD"/>
    <w:rsid w:val="00E939A2"/>
    <w:rsid w:val="00E9559A"/>
    <w:rsid w:val="00E95921"/>
    <w:rsid w:val="00EA7497"/>
    <w:rsid w:val="00EC5B76"/>
    <w:rsid w:val="00EF7D99"/>
    <w:rsid w:val="00F05680"/>
    <w:rsid w:val="00F139D2"/>
    <w:rsid w:val="00F15B04"/>
    <w:rsid w:val="00F20484"/>
    <w:rsid w:val="00F63258"/>
    <w:rsid w:val="00F95A63"/>
    <w:rsid w:val="00F971B7"/>
    <w:rsid w:val="00FA5573"/>
    <w:rsid w:val="00FB162B"/>
    <w:rsid w:val="00FD2173"/>
    <w:rsid w:val="00FD2825"/>
    <w:rsid w:val="00FF06ED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8E7B5A"/>
  <w15:docId w15:val="{351C9124-E961-4961-B300-0260431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DBE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446"/>
    <w:pPr>
      <w:ind w:left="720"/>
      <w:contextualSpacing/>
    </w:pPr>
  </w:style>
  <w:style w:type="paragraph" w:styleId="Encabezado">
    <w:name w:val="header"/>
    <w:aliases w:val=" Car"/>
    <w:basedOn w:val="Normal"/>
    <w:link w:val="Encabezado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D6738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8C"/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7A1A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6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62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5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E238-DAE4-4A30-B56A-6569E3CB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Juan Pablo  Ojeda</cp:lastModifiedBy>
  <cp:revision>72</cp:revision>
  <cp:lastPrinted>2023-08-07T13:43:00Z</cp:lastPrinted>
  <dcterms:created xsi:type="dcterms:W3CDTF">2023-08-04T16:22:00Z</dcterms:created>
  <dcterms:modified xsi:type="dcterms:W3CDTF">2025-03-06T14:20:00Z</dcterms:modified>
</cp:coreProperties>
</file>